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842AC" w14:textId="65D65BC9" w:rsidR="00DB579D" w:rsidRDefault="00E346A8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5C9438A" w14:textId="04B08AFB" w:rsidR="00DB579D" w:rsidRDefault="00DB579D" w:rsidP="00DB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ПОЯСНЮВАЛЬНА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ЗАПИСКА</w:t>
      </w:r>
    </w:p>
    <w:p w14:paraId="05BA7994" w14:textId="77777777" w:rsidR="00DB579D" w:rsidRDefault="00DB579D" w:rsidP="00DB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ПРОЄКТУ РІШЕННЯ </w:t>
      </w:r>
    </w:p>
    <w:p w14:paraId="6B8C242E" w14:textId="30BEB8CF" w:rsidR="00DB579D" w:rsidRPr="00DB579D" w:rsidRDefault="00DB579D" w:rsidP="00DB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79D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ПЛАН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DB5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ДІЙ СТАЛОГО ЕНЕРГЕТИЧНОГО РОЗВИТКУ ТА КЛІМАТУ КОЗЯТИНСЬКОЇ МІСЬКОЇ ТЕРИТОРІАЛЬНОЇ ГРОМАДИ ДО 2030 РОКУ»</w:t>
      </w:r>
    </w:p>
    <w:p w14:paraId="764AA019" w14:textId="77777777" w:rsidR="00DB579D" w:rsidRDefault="00DB579D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510EA3" w14:textId="18829D39" w:rsidR="000E1522" w:rsidRPr="00B96433" w:rsidRDefault="00DB579D" w:rsidP="00DB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53FE0" w:rsidRPr="00E346A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346A8" w:rsidRPr="00E346A8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лан дій  сталого енергетичного розвитку та клімату (ПДСЕРК)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– це робочий документ, який </w:t>
      </w:r>
      <w:r w:rsidR="00E346A8">
        <w:rPr>
          <w:rFonts w:ascii="Times New Roman" w:hAnsi="Times New Roman" w:cs="Times New Roman"/>
          <w:sz w:val="28"/>
          <w:szCs w:val="28"/>
          <w:lang w:val="uk-UA"/>
        </w:rPr>
        <w:t xml:space="preserve">необхідний для  використання 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планування дій у сфері енергоефективності та адаптації до зміни клімату</w:t>
      </w:r>
      <w:r w:rsidR="008733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4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розроблення окремих про</w:t>
      </w:r>
      <w:r w:rsidR="003C2B4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ктів задля виконання загальної стратегії громади. ПДСЕРК — це нові можливості саморозвитку для українських громад, завдяки цьому документу 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</w:t>
      </w:r>
      <w:r w:rsidR="00E346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53FE0" w:rsidRPr="00F53FE0">
        <w:rPr>
          <w:rFonts w:ascii="Times New Roman" w:hAnsi="Times New Roman" w:cs="Times New Roman"/>
          <w:sz w:val="28"/>
          <w:szCs w:val="28"/>
        </w:rPr>
        <w:t>мож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скоротити споживання енергоресурсів, проводити термомодернізацію комунальних закладів та житлових будівель, зменшити викиди парникових газів, залучати фінансування на втілення проєктів щодо вдосконалення всіх сфер і галузей міста. Також, це план розвитку енергетики, 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підвищує привабли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>вість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для інвесторів у сфері енергетики та будівництва. Метою </w:t>
      </w:r>
      <w:r w:rsidR="00E346A8">
        <w:rPr>
          <w:rFonts w:ascii="Times New Roman" w:hAnsi="Times New Roman" w:cs="Times New Roman"/>
          <w:sz w:val="28"/>
          <w:szCs w:val="28"/>
          <w:lang w:val="uk-UA"/>
        </w:rPr>
        <w:t xml:space="preserve">розробки документа 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є аналіз 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>енергобалансу та викидів СО</w:t>
      </w:r>
      <w:r w:rsidR="00FE6AE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F53FE0" w:rsidRPr="00F53FE0">
        <w:rPr>
          <w:rFonts w:ascii="Times New Roman" w:hAnsi="Times New Roman" w:cs="Times New Roman"/>
          <w:sz w:val="28"/>
          <w:szCs w:val="28"/>
        </w:rPr>
        <w:t>.</w:t>
      </w:r>
      <w:r w:rsidR="00FE6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FE0" w:rsidRPr="00F53FE0">
        <w:rPr>
          <w:rFonts w:ascii="Times New Roman" w:hAnsi="Times New Roman" w:cs="Times New Roman"/>
          <w:sz w:val="28"/>
          <w:szCs w:val="28"/>
        </w:rPr>
        <w:t xml:space="preserve"> </w:t>
      </w:r>
      <w:r w:rsidR="009C00D0" w:rsidRPr="009C00D0">
        <w:rPr>
          <w:rFonts w:ascii="Times New Roman" w:hAnsi="Times New Roman" w:cs="Times New Roman"/>
          <w:sz w:val="28"/>
          <w:szCs w:val="28"/>
        </w:rPr>
        <w:t>Досл</w:t>
      </w:r>
      <w:r w:rsidR="009C00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00D0" w:rsidRPr="009C00D0">
        <w:rPr>
          <w:rFonts w:ascii="Times New Roman" w:hAnsi="Times New Roman" w:cs="Times New Roman"/>
          <w:sz w:val="28"/>
          <w:szCs w:val="28"/>
        </w:rPr>
        <w:t>дження пр</w:t>
      </w:r>
      <w:r w:rsidR="009C00D0">
        <w:rPr>
          <w:rFonts w:ascii="Times New Roman" w:hAnsi="Times New Roman" w:cs="Times New Roman"/>
          <w:sz w:val="28"/>
          <w:szCs w:val="28"/>
          <w:lang w:val="ru-RU"/>
        </w:rPr>
        <w:t xml:space="preserve">оводилися </w:t>
      </w:r>
      <w:r w:rsidR="000E1522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 показників </w:t>
      </w:r>
      <w:r w:rsidR="003C2B4C">
        <w:rPr>
          <w:rFonts w:ascii="Times New Roman" w:hAnsi="Times New Roman" w:cs="Times New Roman"/>
          <w:sz w:val="28"/>
          <w:szCs w:val="28"/>
          <w:lang w:val="uk-UA"/>
        </w:rPr>
        <w:t xml:space="preserve">споживання основних видів енергетичних ресурсів та в результаті </w:t>
      </w:r>
      <w:r w:rsidR="000E1522" w:rsidRPr="00B96433">
        <w:rPr>
          <w:rFonts w:ascii="Times New Roman" w:hAnsi="Times New Roman" w:cs="Times New Roman"/>
          <w:sz w:val="28"/>
          <w:szCs w:val="28"/>
        </w:rPr>
        <w:t xml:space="preserve"> отриман</w:t>
      </w:r>
      <w:r w:rsidR="003C2B4C">
        <w:rPr>
          <w:rFonts w:ascii="Times New Roman" w:hAnsi="Times New Roman" w:cs="Times New Roman"/>
          <w:sz w:val="28"/>
          <w:szCs w:val="28"/>
          <w:lang w:val="uk-UA"/>
        </w:rPr>
        <w:t xml:space="preserve">их даних </w:t>
      </w:r>
      <w:r w:rsidR="000E1522" w:rsidRPr="00B96433">
        <w:rPr>
          <w:rFonts w:ascii="Times New Roman" w:hAnsi="Times New Roman" w:cs="Times New Roman"/>
          <w:sz w:val="28"/>
          <w:szCs w:val="28"/>
        </w:rPr>
        <w:t xml:space="preserve"> споживання основних видів енергетичних ресурсів проведено розрахунок викидів СО2 в 2017-2022 роках.  </w:t>
      </w:r>
    </w:p>
    <w:p w14:paraId="1858599C" w14:textId="77777777" w:rsidR="000E1522" w:rsidRPr="00B96433" w:rsidRDefault="000E1522" w:rsidP="008733E3">
      <w:pPr>
        <w:spacing w:after="0" w:line="240" w:lineRule="auto"/>
        <w:ind w:left="137" w:right="1" w:firstLine="583"/>
        <w:jc w:val="both"/>
        <w:rPr>
          <w:rFonts w:ascii="Times New Roman" w:hAnsi="Times New Roman" w:cs="Times New Roman"/>
          <w:sz w:val="28"/>
          <w:szCs w:val="28"/>
        </w:rPr>
      </w:pPr>
      <w:r w:rsidRPr="00B96433">
        <w:rPr>
          <w:rFonts w:ascii="Times New Roman" w:hAnsi="Times New Roman" w:cs="Times New Roman"/>
          <w:sz w:val="28"/>
          <w:szCs w:val="28"/>
        </w:rPr>
        <w:t xml:space="preserve">Базовим роком для здійснення оцінювання поточного рівня викидів СО2 для Козятинської МТГ обрано 2017 рік.  </w:t>
      </w:r>
    </w:p>
    <w:p w14:paraId="6C447620" w14:textId="1D85ED3E" w:rsidR="00D2296E" w:rsidRDefault="000E1522" w:rsidP="008733E3">
      <w:pPr>
        <w:spacing w:after="0" w:line="240" w:lineRule="auto"/>
        <w:ind w:left="137" w:right="1" w:firstLine="583"/>
        <w:jc w:val="both"/>
        <w:rPr>
          <w:rFonts w:ascii="Times New Roman" w:hAnsi="Times New Roman" w:cs="Times New Roman"/>
          <w:sz w:val="28"/>
          <w:szCs w:val="28"/>
        </w:rPr>
      </w:pPr>
      <w:r w:rsidRPr="00B96433">
        <w:rPr>
          <w:rFonts w:ascii="Times New Roman" w:hAnsi="Times New Roman" w:cs="Times New Roman"/>
          <w:sz w:val="28"/>
          <w:szCs w:val="28"/>
        </w:rPr>
        <w:t xml:space="preserve">Використання як базового 2017 року пояснюється наявністю повної та достовірної інформації за даний період по споживанню усіх видів енергоносіїв та найбільш репрезентативний по відношенню доданої економічної ситуації. </w:t>
      </w:r>
    </w:p>
    <w:p w14:paraId="34E9CA78" w14:textId="77777777" w:rsidR="00B84116" w:rsidRPr="005D13A0" w:rsidRDefault="00B84116" w:rsidP="008733E3">
      <w:pPr>
        <w:spacing w:after="0" w:line="240" w:lineRule="auto"/>
        <w:ind w:left="857" w:right="1" w:firstLine="583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D13A0">
        <w:rPr>
          <w:rFonts w:ascii="Times New Roman" w:hAnsi="Times New Roman" w:cs="Times New Roman"/>
          <w:b/>
          <w:bCs/>
          <w:sz w:val="32"/>
          <w:szCs w:val="32"/>
          <w:lang w:val="uk-UA"/>
        </w:rPr>
        <w:t>Шляхи впровадження енергоефективності:</w:t>
      </w:r>
    </w:p>
    <w:p w14:paraId="5F2914FD" w14:textId="77777777" w:rsidR="005D13A0" w:rsidRPr="00F47423" w:rsidRDefault="002E79A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3A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</w:t>
      </w:r>
      <w:r w:rsidR="00B84116" w:rsidRPr="005D13A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икористан</w:t>
      </w:r>
      <w:r w:rsidRPr="005D13A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ня сонячної енергетики</w:t>
      </w:r>
      <w:r w:rsidR="00B84116" w:rsidRPr="005D13A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D13A0" w:rsidRPr="005D13A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D13A0" w:rsidRPr="00F47423">
        <w:rPr>
          <w:rFonts w:ascii="Times New Roman" w:hAnsi="Times New Roman" w:cs="Times New Roman"/>
          <w:sz w:val="28"/>
          <w:szCs w:val="28"/>
        </w:rPr>
        <w:t xml:space="preserve">В </w:t>
      </w:r>
      <w:r w:rsidR="005D13A0">
        <w:rPr>
          <w:rFonts w:ascii="Times New Roman" w:hAnsi="Times New Roman" w:cs="Times New Roman"/>
          <w:sz w:val="28"/>
          <w:szCs w:val="28"/>
        </w:rPr>
        <w:t>таблиці</w:t>
      </w:r>
      <w:r w:rsidR="005D13A0" w:rsidRPr="00F47423">
        <w:rPr>
          <w:rFonts w:ascii="Times New Roman" w:hAnsi="Times New Roman" w:cs="Times New Roman"/>
          <w:sz w:val="28"/>
          <w:szCs w:val="28"/>
        </w:rPr>
        <w:t xml:space="preserve"> 4 наведені розрахунки щодо фінансових показників впровадження заходів з встановлення СЕС, річної генерації, економії коштів на оплату електричної енергії, строків окупності та ранжування об’єктів, за результатами яких:</w:t>
      </w:r>
    </w:p>
    <w:p w14:paraId="4617293E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Впровадження СЕС пропонується на 30 закладах бюджетної сфери.</w:t>
      </w:r>
    </w:p>
    <w:p w14:paraId="0196089E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7423">
        <w:rPr>
          <w:rFonts w:ascii="Times New Roman" w:hAnsi="Times New Roman" w:cs="Times New Roman"/>
          <w:b/>
          <w:bCs/>
          <w:sz w:val="28"/>
          <w:szCs w:val="28"/>
        </w:rPr>
        <w:t>Основні показники впровадження заходів з встановлення СЕС:</w:t>
      </w:r>
    </w:p>
    <w:p w14:paraId="73D547BF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Вартість впровадження СЕС – 7 620 000 грн</w:t>
      </w:r>
    </w:p>
    <w:p w14:paraId="582E6CFD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Очікувана річна генерація електричної енергії – 231 000 кВт/рік</w:t>
      </w:r>
    </w:p>
    <w:p w14:paraId="0817FC02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Очікувана економія споживання електроенергії об’єктів – 41 %</w:t>
      </w:r>
    </w:p>
    <w:p w14:paraId="1B2B80E4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Скорочення витрат на оплату електроенергії – 1 145 760 грн/рік</w:t>
      </w:r>
    </w:p>
    <w:p w14:paraId="6EFC6C17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Скорочення викидів СО2 – 117,8 т/рік</w:t>
      </w:r>
    </w:p>
    <w:p w14:paraId="64CB9036" w14:textId="77777777" w:rsidR="005D13A0" w:rsidRPr="00F47423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>Простий строк окупності – 6,7 роки</w:t>
      </w:r>
    </w:p>
    <w:p w14:paraId="70684A25" w14:textId="00CBDF40" w:rsidR="005D13A0" w:rsidRDefault="005D13A0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423">
        <w:rPr>
          <w:rFonts w:ascii="Times New Roman" w:hAnsi="Times New Roman" w:cs="Times New Roman"/>
          <w:sz w:val="28"/>
          <w:szCs w:val="28"/>
        </w:rPr>
        <w:t xml:space="preserve">При зростанні тарифу на електричну енергію фактичний строк окупності може скласти 3,5-4 роки. </w:t>
      </w:r>
    </w:p>
    <w:p w14:paraId="27AF152E" w14:textId="07B0961F" w:rsidR="007B100B" w:rsidRPr="007B100B" w:rsidRDefault="007B100B" w:rsidP="008733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7B100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Термомодернізація будівель</w:t>
      </w:r>
    </w:p>
    <w:p w14:paraId="02CC5E35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lastRenderedPageBreak/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Таблиці </w:t>
      </w:r>
      <w:r w:rsidRPr="00994E27">
        <w:rPr>
          <w:rFonts w:ascii="Times New Roman" w:hAnsi="Times New Roman" w:cs="Times New Roman"/>
          <w:sz w:val="28"/>
          <w:szCs w:val="28"/>
        </w:rPr>
        <w:t>5 наведені розрахунки щодо фінансових показників впровадження заходів з термомодернізації будівель, економії ПЕР, строків окупності та ранжування об’єктів, за результатами яких:</w:t>
      </w:r>
    </w:p>
    <w:p w14:paraId="7546C3B9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Впровадження термомодернізації пропонується на 20 закладах бюджетної сфери.</w:t>
      </w:r>
    </w:p>
    <w:p w14:paraId="36CF75B3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 xml:space="preserve">Вибір об’єктів був здійснений на підставі аналізу питомих показників енергоспоживання об’єктів, питомої долі об’єкта в загальному балансі споживання ПЕР та недоцільності виконання робіт на об’єктах з малою площею, періодичною присутністю відвідувачів та персоналу (заклади культури) і низьким енергоспоживанням.     </w:t>
      </w:r>
    </w:p>
    <w:p w14:paraId="4FE332F6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E27">
        <w:rPr>
          <w:rFonts w:ascii="Times New Roman" w:hAnsi="Times New Roman" w:cs="Times New Roman"/>
          <w:b/>
          <w:bCs/>
          <w:sz w:val="28"/>
          <w:szCs w:val="28"/>
        </w:rPr>
        <w:t>Основні показники впровадження заходів з термомодернізації будівель:</w:t>
      </w:r>
    </w:p>
    <w:p w14:paraId="5A26E686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Вартість впровадження – 294 407 000 грн</w:t>
      </w:r>
    </w:p>
    <w:p w14:paraId="216696BF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Очікувана економія споживання ПЕР об’єктами – 44 %</w:t>
      </w:r>
    </w:p>
    <w:p w14:paraId="77B1DEB9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Скорочення витрат на оплату ПЕР – 14 673 564 грн/рік</w:t>
      </w:r>
    </w:p>
    <w:p w14:paraId="7DBA4807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Скорочення викидів СО2 – 810,5 т/рік</w:t>
      </w:r>
    </w:p>
    <w:p w14:paraId="6E6A393D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E27">
        <w:rPr>
          <w:rFonts w:ascii="Times New Roman" w:hAnsi="Times New Roman" w:cs="Times New Roman"/>
          <w:sz w:val="28"/>
          <w:szCs w:val="28"/>
        </w:rPr>
        <w:t>Простий строк окупності – 20,1 років</w:t>
      </w:r>
    </w:p>
    <w:p w14:paraId="7C22CD5F" w14:textId="77777777" w:rsidR="007B100B" w:rsidRPr="00994E27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D9C6B" w14:textId="77777777" w:rsidR="007B100B" w:rsidRPr="007B100B" w:rsidRDefault="007B100B" w:rsidP="00873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100B">
        <w:rPr>
          <w:rFonts w:ascii="Times New Roman" w:hAnsi="Times New Roman" w:cs="Times New Roman"/>
          <w:b/>
          <w:bCs/>
          <w:sz w:val="28"/>
          <w:szCs w:val="28"/>
          <w:u w:val="single"/>
        </w:rPr>
        <w:t>Впровадження індивідуальних теплових пунктів (ІТП) в бюджетних закладах</w:t>
      </w:r>
    </w:p>
    <w:p w14:paraId="27E6608E" w14:textId="77777777" w:rsidR="007B100B" w:rsidRPr="00AC17A2" w:rsidRDefault="007B100B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Індивідуальний тепловий пункт — це набір тепломеханічного регулювального обладнання та пристроїв, що складається з елементів, які забезпечують приєднання системи опалення та гарячого водопостачання до централізованої теплової мережі. Він забезпечує якісну і кількісну підготовку теплоносія, а також контроль його параметрів — температури, тиску і витрат. За допомогою ІТП раціоналізується розподіл теплоносія і підвищується загальна ефективність системи теплозабезпечення. ІТП дозволяє споживати будівлі рівно стільки, скільки необхідно для підтримки необхідної температури повітря в приміщенні.</w:t>
      </w:r>
    </w:p>
    <w:p w14:paraId="585B03C3" w14:textId="77777777" w:rsidR="007B100B" w:rsidRPr="00AC17A2" w:rsidRDefault="007B100B" w:rsidP="008733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таблиці</w:t>
      </w:r>
      <w:r w:rsidRPr="00AC17A2">
        <w:rPr>
          <w:rFonts w:ascii="Times New Roman" w:hAnsi="Times New Roman" w:cs="Times New Roman"/>
          <w:sz w:val="28"/>
          <w:szCs w:val="28"/>
        </w:rPr>
        <w:t xml:space="preserve"> 3 наведені розрахунки щодо фінансових показників впровадження заходів з ІТП, економії ПЕР, строків окупності та ранжування об’єктів, за результатами яких:</w:t>
      </w:r>
    </w:p>
    <w:p w14:paraId="36AC313F" w14:textId="2BF148D6" w:rsidR="007B100B" w:rsidRPr="009D260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17A2">
        <w:rPr>
          <w:rFonts w:ascii="Times New Roman" w:hAnsi="Times New Roman" w:cs="Times New Roman"/>
          <w:sz w:val="28"/>
          <w:szCs w:val="28"/>
        </w:rPr>
        <w:t>Впровадження ІТП пропонується на 14 закладах бюджетної сфери, які підключені до системи централізованого теплопостачання, та включають в себе в т.ч. реалізацію заходів з впровадження системи автоматичного енергомоніторингу</w:t>
      </w:r>
      <w:r w:rsidR="009D26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332947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17A2">
        <w:rPr>
          <w:rFonts w:ascii="Times New Roman" w:hAnsi="Times New Roman" w:cs="Times New Roman"/>
          <w:b/>
          <w:bCs/>
          <w:sz w:val="28"/>
          <w:szCs w:val="28"/>
        </w:rPr>
        <w:t>Основні показники впровадження заходів з встановлення ІТП:</w:t>
      </w:r>
    </w:p>
    <w:p w14:paraId="56C35631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Вартість впровадження – 10 000 000 грн</w:t>
      </w:r>
    </w:p>
    <w:p w14:paraId="1ECE87FE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Очікувана економія теплової енергії – 1 056,44 Гкал/рік</w:t>
      </w:r>
    </w:p>
    <w:p w14:paraId="7443EE37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Очікувана економія споживання теплової енергії об’єктів – 20 %</w:t>
      </w:r>
    </w:p>
    <w:p w14:paraId="6D16B71A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Скорочення витрат на оплату теплової енергії – 4 308 796 грн/рік</w:t>
      </w:r>
    </w:p>
    <w:p w14:paraId="1B7B5BDB" w14:textId="77777777" w:rsidR="007B100B" w:rsidRPr="00AC17A2" w:rsidRDefault="007B100B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Скорочення викидів СО2 – 243,1 т/рік</w:t>
      </w:r>
    </w:p>
    <w:p w14:paraId="4F1C2BC1" w14:textId="56C34EA6" w:rsidR="007B100B" w:rsidRPr="003D0E14" w:rsidRDefault="007B100B" w:rsidP="003D0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7A2">
        <w:rPr>
          <w:rFonts w:ascii="Times New Roman" w:hAnsi="Times New Roman" w:cs="Times New Roman"/>
          <w:sz w:val="28"/>
          <w:szCs w:val="28"/>
        </w:rPr>
        <w:t>Простий строк окупності – 2,3 роки</w:t>
      </w:r>
    </w:p>
    <w:p w14:paraId="58DF9DA4" w14:textId="6048F4FB" w:rsidR="00D2296E" w:rsidRPr="00877568" w:rsidRDefault="009D2602" w:rsidP="009D2602">
      <w:pPr>
        <w:keepNext/>
        <w:keepLines/>
        <w:spacing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Cs/>
          <w:color w:val="000000"/>
          <w:sz w:val="32"/>
          <w:lang w:eastAsia="ru-UA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ru-UA"/>
        </w:rPr>
        <w:lastRenderedPageBreak/>
        <w:t>У</w:t>
      </w:r>
      <w:r w:rsidR="00F80CA6" w:rsidRPr="00877568">
        <w:rPr>
          <w:rFonts w:ascii="Times New Roman" w:eastAsia="Arial" w:hAnsi="Times New Roman" w:cs="Times New Roman"/>
          <w:b/>
          <w:color w:val="000000"/>
          <w:sz w:val="28"/>
          <w:szCs w:val="28"/>
          <w:lang w:val="uk-UA" w:eastAsia="ru-UA"/>
        </w:rPr>
        <w:t xml:space="preserve"> результаті проведеної роботи розроблений</w:t>
      </w:r>
      <w:r w:rsidR="00F80CA6" w:rsidRPr="00877568">
        <w:rPr>
          <w:rFonts w:ascii="Times New Roman" w:eastAsia="Arial" w:hAnsi="Times New Roman" w:cs="Times New Roman"/>
          <w:bCs/>
          <w:color w:val="000000"/>
          <w:sz w:val="28"/>
          <w:szCs w:val="28"/>
          <w:lang w:val="uk-UA" w:eastAsia="ru-UA"/>
        </w:rPr>
        <w:t xml:space="preserve"> чіткий план дій  </w:t>
      </w:r>
      <w:r w:rsidR="00D2296E" w:rsidRPr="00877568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UA"/>
        </w:rPr>
        <w:t>впровадження енергоефективних заходів</w:t>
      </w:r>
      <w:r w:rsidR="00877568" w:rsidRPr="00877568">
        <w:rPr>
          <w:rFonts w:ascii="Times New Roman" w:eastAsia="Arial" w:hAnsi="Times New Roman" w:cs="Times New Roman"/>
          <w:bCs/>
          <w:color w:val="000000"/>
          <w:sz w:val="28"/>
          <w:szCs w:val="28"/>
          <w:lang w:val="uk-UA" w:eastAsia="ru-UA"/>
        </w:rPr>
        <w:t xml:space="preserve"> та проведені  </w:t>
      </w:r>
      <w:r w:rsidR="00D2296E" w:rsidRPr="00877568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>розрахунки</w:t>
      </w:r>
      <w:r w:rsidR="00D2296E"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 щодо фінансових показників впровадження повного комплексу заходів з підвищення енергоефективності будівель, економії ПЕР, строків окупності та ранжування об’єктів, за результатами яких: </w:t>
      </w:r>
    </w:p>
    <w:p w14:paraId="15AF7FC9" w14:textId="77777777" w:rsidR="00D2296E" w:rsidRPr="0064445C" w:rsidRDefault="00D2296E" w:rsidP="008733E3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Вартість впровадження всіх заходів – 304 140 800 грн </w:t>
      </w:r>
    </w:p>
    <w:p w14:paraId="08C60862" w14:textId="77777777" w:rsidR="00D2296E" w:rsidRPr="0064445C" w:rsidRDefault="00D2296E" w:rsidP="008733E3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Очікувана економія загального споживання ПЕР – 38 % </w:t>
      </w:r>
    </w:p>
    <w:p w14:paraId="303C3A38" w14:textId="77777777" w:rsidR="00D2296E" w:rsidRPr="0064445C" w:rsidRDefault="00D2296E" w:rsidP="008733E3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Скорочення витрат на оплату ПЕР – 16 528 109 грн/рік </w:t>
      </w:r>
    </w:p>
    <w:p w14:paraId="11924D0A" w14:textId="77777777" w:rsidR="00D2296E" w:rsidRPr="0064445C" w:rsidRDefault="00D2296E" w:rsidP="008733E3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Скорочення викидів СО2 – 970,1 т/рік </w:t>
      </w:r>
    </w:p>
    <w:p w14:paraId="34A2322E" w14:textId="77777777" w:rsidR="00D2296E" w:rsidRPr="0064445C" w:rsidRDefault="00D2296E" w:rsidP="008733E3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 xml:space="preserve">Скорочення викидів СО2 у порівнянні з базовим 2017 роком – 32% </w:t>
      </w:r>
    </w:p>
    <w:p w14:paraId="4A1B6C16" w14:textId="741C689F" w:rsidR="008733E3" w:rsidRPr="003D0E14" w:rsidRDefault="00D2296E" w:rsidP="003D0E14">
      <w:pPr>
        <w:spacing w:after="0" w:line="240" w:lineRule="auto"/>
        <w:ind w:left="-5" w:right="12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</w:pPr>
      <w:r w:rsidRPr="0064445C">
        <w:rPr>
          <w:rFonts w:ascii="Times New Roman" w:eastAsia="Arial" w:hAnsi="Times New Roman" w:cs="Times New Roman"/>
          <w:color w:val="000000"/>
          <w:sz w:val="28"/>
          <w:szCs w:val="28"/>
          <w:lang w:eastAsia="ru-UA"/>
        </w:rPr>
        <w:t>Простий строк окупності комплексу заходів – 18,4 рокі</w:t>
      </w:r>
    </w:p>
    <w:p w14:paraId="190E5565" w14:textId="77777777" w:rsidR="008733E3" w:rsidRPr="00BB7230" w:rsidRDefault="008733E3" w:rsidP="008733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230">
        <w:rPr>
          <w:rFonts w:ascii="Times New Roman" w:hAnsi="Times New Roman" w:cs="Times New Roman"/>
          <w:sz w:val="28"/>
          <w:szCs w:val="28"/>
        </w:rPr>
        <w:t xml:space="preserve">План дій сталого енергетичного розвитку та клімату Козятинської МТГ є стратегічним документом, який спрямований на підвищення енергоефективності в бюджетних закладах та установах, житлових будівлях, секторі транспорту, муніципальному громадському освітленні, третинному секторі (малий та середній бізнес та сфера обслуговування) та на комунальних підприємствах міста.  </w:t>
      </w:r>
    </w:p>
    <w:p w14:paraId="55EECF85" w14:textId="77777777" w:rsidR="008733E3" w:rsidRPr="00BB7230" w:rsidRDefault="008733E3" w:rsidP="008733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230">
        <w:rPr>
          <w:rFonts w:ascii="Times New Roman" w:hAnsi="Times New Roman" w:cs="Times New Roman"/>
          <w:sz w:val="28"/>
          <w:szCs w:val="28"/>
        </w:rPr>
        <w:t>За результатами розробки ПДСЕРК проведений аналіз та оцінка поточного стану в сферах виробництва та споживання ПЕР по місту. Проаналізована динаміка споживання енергетичних ресурсів у розрізі всіх секторів (муніципальні будівлі, обладнання/об'єкти, житлові будинки,  муніципальне громадське освітлення, транспорт, третинний сектор). На основі отриманих даних побудований кадастр викидів СО</w:t>
      </w:r>
      <w:r w:rsidRPr="00BB72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B7230">
        <w:rPr>
          <w:rFonts w:ascii="Times New Roman" w:hAnsi="Times New Roman" w:cs="Times New Roman"/>
          <w:sz w:val="28"/>
          <w:szCs w:val="28"/>
        </w:rPr>
        <w:t xml:space="preserve"> з обранням 2017 року як базового, відносно до  якого у 2030 році планується досягнути зменшення викидів СО</w:t>
      </w:r>
      <w:r w:rsidRPr="00BB72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B7230">
        <w:rPr>
          <w:rFonts w:ascii="Times New Roman" w:hAnsi="Times New Roman" w:cs="Times New Roman"/>
          <w:sz w:val="28"/>
          <w:szCs w:val="28"/>
        </w:rPr>
        <w:t xml:space="preserve"> на 23078,535</w:t>
      </w:r>
      <w:r w:rsidRPr="00BB72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7230">
        <w:rPr>
          <w:rFonts w:ascii="Times New Roman" w:hAnsi="Times New Roman" w:cs="Times New Roman"/>
          <w:sz w:val="28"/>
          <w:szCs w:val="28"/>
        </w:rPr>
        <w:t xml:space="preserve">тон/рік. Також було визначено головні кліматичні вразливості та загрози міста та заходи щодо адаптації до них. Проведена оцінка готовності організаційно- управлінської структури Козятинської МТГ до впровадження та моніторингу стану виконання ПДСЕРК, ефективності роботи системи енергетичного менеджменту у місті. Надані пропозиції щодо удосконалення системи енергетичного менеджменту в Козятинській МТГ.  </w:t>
      </w:r>
    </w:p>
    <w:p w14:paraId="459BF443" w14:textId="77777777" w:rsidR="008733E3" w:rsidRPr="00BB7230" w:rsidRDefault="008733E3" w:rsidP="008733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230">
        <w:rPr>
          <w:rFonts w:ascii="Times New Roman" w:hAnsi="Times New Roman" w:cs="Times New Roman"/>
          <w:sz w:val="28"/>
          <w:szCs w:val="28"/>
        </w:rPr>
        <w:t xml:space="preserve">У контексті запропонованих заходів та фінансових ресурсів, необхідних на їх реалізацію розглянуто можливості міського бюджету Козятинської МТГ щодо </w:t>
      </w:r>
      <w:r w:rsidRPr="000417DE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Pr="00BB7230">
        <w:rPr>
          <w:rFonts w:ascii="Times New Roman" w:hAnsi="Times New Roman" w:cs="Times New Roman"/>
          <w:sz w:val="28"/>
          <w:szCs w:val="28"/>
        </w:rPr>
        <w:t>(співфінансування) заходів, направлених на скорочення викидів СО</w:t>
      </w:r>
      <w:r w:rsidRPr="00BB72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B7230">
        <w:rPr>
          <w:rFonts w:ascii="Times New Roman" w:hAnsi="Times New Roman" w:cs="Times New Roman"/>
          <w:sz w:val="28"/>
          <w:szCs w:val="28"/>
        </w:rPr>
        <w:t xml:space="preserve">. Визначено, що за основні джерела фінансування енергоефективних проектів необхідно розглядати кредитні, грантові кошти та інші не заборонені чинним законодавством  джерела фінансування, кошти ж міського бюджету здебільшого краще використовувати для співфінансування заходів з енергозбереження.  </w:t>
      </w:r>
    </w:p>
    <w:p w14:paraId="0AF68B1B" w14:textId="77777777" w:rsidR="008733E3" w:rsidRPr="00484076" w:rsidRDefault="008733E3" w:rsidP="008733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230">
        <w:rPr>
          <w:rFonts w:ascii="Times New Roman" w:hAnsi="Times New Roman" w:cs="Times New Roman"/>
          <w:sz w:val="28"/>
          <w:szCs w:val="28"/>
        </w:rPr>
        <w:t xml:space="preserve">Перелік заходів, реалізація яких запропонована для скорочення викидів парникових газів, та їх вартість можуть на протязі виконання ПДСЕРК переглядатися та актуалізовуватись у зв’язку з появою нових технологій, потреб, зміною ринкової кон’юнктури, прийнятих управлінських рішень тощо.  </w:t>
      </w:r>
    </w:p>
    <w:p w14:paraId="2AAFA6D5" w14:textId="2F9FFF5D" w:rsidR="00D2296E" w:rsidRPr="0064445C" w:rsidRDefault="00D2296E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45F4A" w14:textId="77777777" w:rsidR="00D2296E" w:rsidRPr="0064445C" w:rsidRDefault="00D2296E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F12A3" w14:textId="34FAEBCE" w:rsidR="00F31312" w:rsidRPr="0064445C" w:rsidRDefault="00F31312" w:rsidP="0087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50997" w14:textId="22BDB1D6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C1942" w14:textId="0241F3DD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51491" w14:textId="0A62C9C3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2E21C" w14:textId="3D08FC5A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5DAAB" w14:textId="6D62A105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820EB" w14:textId="47A3CAFC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F09E0" w14:textId="631AB887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61173" w14:textId="36782CAA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63EF7" w14:textId="76BA4EF6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42D46" w14:textId="57F9C4A6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9F590" w14:textId="474E664F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7CC1A" w14:textId="171DCE66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3E76F" w14:textId="785278FE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8A93A" w14:textId="7480E0C5" w:rsidR="00F31312" w:rsidRPr="0064445C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BE972" w14:textId="087761E8" w:rsidR="00F31312" w:rsidRDefault="00F31312" w:rsidP="0087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3AA31" w14:textId="2CD4FA63" w:rsidR="00F31312" w:rsidRDefault="00F31312">
      <w:pPr>
        <w:rPr>
          <w:rFonts w:ascii="Times New Roman" w:hAnsi="Times New Roman" w:cs="Times New Roman"/>
          <w:sz w:val="28"/>
          <w:szCs w:val="28"/>
        </w:rPr>
      </w:pPr>
    </w:p>
    <w:p w14:paraId="3DAE500E" w14:textId="6341F64C" w:rsidR="00F31312" w:rsidRDefault="00F31312">
      <w:pPr>
        <w:rPr>
          <w:rFonts w:ascii="Times New Roman" w:hAnsi="Times New Roman" w:cs="Times New Roman"/>
          <w:sz w:val="28"/>
          <w:szCs w:val="28"/>
        </w:rPr>
      </w:pPr>
    </w:p>
    <w:p w14:paraId="74929E98" w14:textId="77777777" w:rsidR="00F31312" w:rsidRPr="00F53FE0" w:rsidRDefault="00F31312">
      <w:pPr>
        <w:rPr>
          <w:rFonts w:ascii="Times New Roman" w:hAnsi="Times New Roman" w:cs="Times New Roman"/>
          <w:sz w:val="28"/>
          <w:szCs w:val="28"/>
        </w:rPr>
      </w:pPr>
    </w:p>
    <w:sectPr w:rsidR="00F31312" w:rsidRPr="00F5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D4507"/>
    <w:multiLevelType w:val="multilevel"/>
    <w:tmpl w:val="D378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2649"/>
    <w:multiLevelType w:val="multilevel"/>
    <w:tmpl w:val="089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40928"/>
    <w:multiLevelType w:val="multilevel"/>
    <w:tmpl w:val="F0F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04AF1"/>
    <w:multiLevelType w:val="multilevel"/>
    <w:tmpl w:val="AE90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D48B9"/>
    <w:multiLevelType w:val="hybridMultilevel"/>
    <w:tmpl w:val="4C4C63F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3241966"/>
    <w:multiLevelType w:val="multilevel"/>
    <w:tmpl w:val="459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E703E"/>
    <w:multiLevelType w:val="hybridMultilevel"/>
    <w:tmpl w:val="7DA242CC"/>
    <w:lvl w:ilvl="0" w:tplc="63448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BD"/>
    <w:rsid w:val="000E1522"/>
    <w:rsid w:val="002E79A2"/>
    <w:rsid w:val="003A0CBD"/>
    <w:rsid w:val="003B31EE"/>
    <w:rsid w:val="003C2B4C"/>
    <w:rsid w:val="003D0E14"/>
    <w:rsid w:val="00434F40"/>
    <w:rsid w:val="004D524E"/>
    <w:rsid w:val="005D13A0"/>
    <w:rsid w:val="005F3627"/>
    <w:rsid w:val="0064445C"/>
    <w:rsid w:val="007B100B"/>
    <w:rsid w:val="008733E3"/>
    <w:rsid w:val="00877568"/>
    <w:rsid w:val="009C00D0"/>
    <w:rsid w:val="009D2602"/>
    <w:rsid w:val="00B84116"/>
    <w:rsid w:val="00C71EEE"/>
    <w:rsid w:val="00CD2C66"/>
    <w:rsid w:val="00D2296E"/>
    <w:rsid w:val="00DB579D"/>
    <w:rsid w:val="00E346A8"/>
    <w:rsid w:val="00F31312"/>
    <w:rsid w:val="00F53FE0"/>
    <w:rsid w:val="00F80CA6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F3E3"/>
  <w15:chartTrackingRefBased/>
  <w15:docId w15:val="{848F5B08-1BDA-41A4-9211-92539224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7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25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9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45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SESII</dc:creator>
  <cp:keywords/>
  <dc:description/>
  <cp:lastModifiedBy>Larisa</cp:lastModifiedBy>
  <cp:revision>2</cp:revision>
  <dcterms:created xsi:type="dcterms:W3CDTF">2024-11-22T08:18:00Z</dcterms:created>
  <dcterms:modified xsi:type="dcterms:W3CDTF">2024-11-22T08:18:00Z</dcterms:modified>
</cp:coreProperties>
</file>