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0E2E53" w14:textId="77777777" w:rsidR="00D205E4" w:rsidRPr="00D0759B" w:rsidRDefault="00D205E4" w:rsidP="00D2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B14B4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FPV дрон </w:t>
              </w:r>
              <w:r w:rsidRPr="00BA0C54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10” </w:t>
              </w:r>
              <w:r w:rsidRPr="008B14B4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«Дикі шершні» </w:t>
              </w:r>
              <w:r w:rsidRPr="008B14B4">
                <w:rPr>
                  <w:rStyle w:val="a5"/>
                  <w:sz w:val="28"/>
                  <w:szCs w:val="28"/>
                </w:rPr>
                <w:t xml:space="preserve"> « або еквівалент» (ДК 021:2015: 34710000-7 – Вертольоти, літаки, космічні та інші літальні апарати з двигуном (34711200-6 - Безпілотні літальні апарати)</w:t>
              </w:r>
            </w:hyperlink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3285820B" w:rsidR="000358FC" w:rsidRPr="00A34818" w:rsidRDefault="00275A4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5A4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UA-2024-11-04-003749-a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4394338" w14:textId="77777777" w:rsidR="00D205E4" w:rsidRPr="00D205E4" w:rsidRDefault="00591833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Закупівля проводиться для потреб ЗСУ на їх запит, відповідно</w:t>
            </w:r>
            <w:r w:rsidR="009704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 Програми безпеки та оборони «Разом до перемоги Козятинська громада підтримує ЗСУ» співфінансування Вінницької обласної Ради та Козятинської міської територіальної громади на 2024, а також по результатам участі замовника в конкурсі Вінницької обласної ради «БЕЗПЕЧНІ СТІЙКІ ГРОМАДИ»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205E4" w:rsidRPr="00D205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якості, та відповідають базовим технічним вимогам до таких товарів на ринку.</w:t>
            </w:r>
          </w:p>
          <w:p w14:paraId="13D48ED1" w14:textId="77777777" w:rsidR="00D205E4" w:rsidRPr="00D205E4" w:rsidRDefault="00D205E4" w:rsidP="00D205E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05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Замовник здійснює закупівлю товару, із встановленням посилань на торгову назву конкретного виробу, оскільки закупівля здійснюється з метою матеріально-технічного забезпечення військових частин Збройних Сил України за їх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військових частин Збройних Сил України, в інтересах яких здійснюється дана закупівля. Тому, для дотримання принципів Закону, а саме максимальної економії, ефективності та пропорційності, Замовником було прийнято рішення  провести закупівлю саме даного товару.</w:t>
            </w:r>
          </w:p>
          <w:p w14:paraId="2E3B4932" w14:textId="5C77A8BD" w:rsidR="0097041E" w:rsidRDefault="0097041E" w:rsidP="009704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                                     </w:t>
            </w:r>
            <w:r w:rsidRPr="00BD64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Кількісні, технічні та якісні  характеристики:</w:t>
            </w:r>
          </w:p>
          <w:p w14:paraId="079D3371" w14:textId="77777777" w:rsidR="00D205E4" w:rsidRDefault="00D205E4" w:rsidP="00D20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FPV дрон </w:t>
            </w:r>
            <w:r w:rsidRPr="00B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10” </w:t>
            </w:r>
          </w:p>
          <w:tbl>
            <w:tblPr>
              <w:tblW w:w="0" w:type="auto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6"/>
              <w:gridCol w:w="4536"/>
            </w:tblGrid>
            <w:tr w:rsidR="00D205E4" w:rsidRPr="00BA0C54" w14:paraId="49C319CD" w14:textId="77777777" w:rsidTr="00BA66FF">
              <w:trPr>
                <w:trHeight w:val="698"/>
              </w:trPr>
              <w:tc>
                <w:tcPr>
                  <w:tcW w:w="45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0CECE"/>
                </w:tcPr>
                <w:p w14:paraId="34CB3956" w14:textId="77777777" w:rsidR="00D205E4" w:rsidRPr="00BA0C54" w:rsidRDefault="00D205E4" w:rsidP="00D205E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A0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 складових</w:t>
                  </w:r>
                </w:p>
              </w:tc>
              <w:tc>
                <w:tcPr>
                  <w:tcW w:w="45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0CECE"/>
                </w:tcPr>
                <w:p w14:paraId="7363766D" w14:textId="77777777" w:rsidR="00D205E4" w:rsidRPr="00BA0C54" w:rsidRDefault="00D205E4" w:rsidP="00D205E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A0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 товару, що пропонується Учасником</w:t>
                  </w:r>
                </w:p>
              </w:tc>
            </w:tr>
            <w:tr w:rsidR="00D205E4" w:rsidRPr="00BA0C54" w14:paraId="6A9C0044" w14:textId="77777777" w:rsidTr="00BA66FF">
              <w:trPr>
                <w:trHeight w:val="6939"/>
              </w:trPr>
              <w:tc>
                <w:tcPr>
                  <w:tcW w:w="45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310C444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Кількість: 60 шт.</w:t>
                  </w:r>
                </w:p>
                <w:p w14:paraId="5546340D" w14:textId="77777777" w:rsidR="00275A4C" w:rsidRPr="00BA0C54" w:rsidRDefault="00275A4C" w:rsidP="00275A4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0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КОМПЛЕКТАЦІЯ:</w:t>
                  </w:r>
                </w:p>
                <w:p w14:paraId="0147BE47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Розмір: 10</w:t>
                  </w:r>
                </w:p>
                <w:p w14:paraId="385B5E52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Камери: Foxeer Cat 3 Micro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43E2FEE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Камера: денна</w:t>
                  </w:r>
                </w:p>
                <w:p w14:paraId="00C18EFD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Акумулятор :   12 тис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mah</w:t>
                  </w:r>
                </w:p>
                <w:p w14:paraId="1C972501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Частоти по управлінню:  750,915,970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Mhz</w:t>
                  </w:r>
                </w:p>
                <w:p w14:paraId="6D734777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Політний контролер (стек):  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Speedy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Bee F405</w:t>
                  </w:r>
                </w:p>
                <w:p w14:paraId="7A899D18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Тривалість польоту, хв:   25</w:t>
                  </w:r>
                </w:p>
                <w:p w14:paraId="0C5CA9DE" w14:textId="77777777" w:rsidR="00275A4C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Радіус з боєкомплектом, км: 15-22</w:t>
                  </w:r>
                </w:p>
                <w:p w14:paraId="59ED5EC5" w14:textId="77777777" w:rsidR="00275A4C" w:rsidRPr="00286A6B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Передача відеосигналу,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Mhz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5,8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GHz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L- Band (5333 Mhz-5613 Mhz). X-Band (4990 Mhz-5200 Mhz)</w:t>
                  </w:r>
                </w:p>
                <w:p w14:paraId="0259A375" w14:textId="77777777" w:rsidR="00275A4C" w:rsidRPr="00C22175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Вантажо-підйомність, кг: 4</w:t>
                  </w:r>
                </w:p>
                <w:p w14:paraId="0F690D64" w14:textId="43E06498" w:rsidR="00D205E4" w:rsidRPr="00BA0C54" w:rsidRDefault="00275A4C" w:rsidP="00275A4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 а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кумулятор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mah 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0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 Mah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6S3P</w:t>
                  </w:r>
                  <w:r w:rsidRPr="001100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45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C33644F" w14:textId="77777777" w:rsidR="00D205E4" w:rsidRPr="00BA0C54" w:rsidRDefault="00D205E4" w:rsidP="00D205E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279DB2B" w14:textId="77777777" w:rsidR="00D205E4" w:rsidRPr="00532BB1" w:rsidRDefault="00D205E4" w:rsidP="00D2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Весь товар та комплектуючі, що пропонуються Учасником, є новими і не є такими, що вживалися чи експлуатувалися; усі основні компоненти Товару є оригінальними, замiна компонентів на неоригінальні не допускається; товар має упаковку, що передбачена Виробником.</w:t>
            </w:r>
          </w:p>
          <w:p w14:paraId="47DA0698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2.Упаковка Товару містить маркування відповідно до стандартів виробника, яке надає змогу ідентифікувати 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Товар. Пакування не буде ушкодженим або заміненим на інше аналогічне. Упаковка повністю зберігає та захищає товар від пошкоджень під час транспортування та зберігання.</w:t>
            </w:r>
          </w:p>
          <w:p w14:paraId="123BC65F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 xml:space="preserve">3.Запропонований Товар забезпечений гарантійним і сервісним обслуговуванням. Гарантійний термін на товар складає не менше, ніж 12 місяців, і починає діяти з дати підписання сторонами товарної накладної або акту приймання – передачі Товару. </w:t>
            </w:r>
          </w:p>
          <w:p w14:paraId="1A35D320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4.Ціна пропозиції повинна бути сформована з урахуванням витрат на доставку до місця поставки, завантаження, розвантаження, занесення товару, сплату податків і зборів, інші витрати, передбачені чинним законодавством на закупівлю товару даного виду.</w:t>
            </w:r>
          </w:p>
          <w:p w14:paraId="1DF13756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До розрахунку ціни пропозиції не включаються будь які витрати, понесені Учасником у процесі здійснення закупівлі та витрати, пов’язані з укладанням договору, тощо.</w:t>
            </w:r>
          </w:p>
          <w:p w14:paraId="49E4A75F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5.Доставку та розвантаження товару здійснює Учасник своїми силами і за свій рахунок.</w:t>
            </w:r>
          </w:p>
          <w:p w14:paraId="63F5CC23" w14:textId="77777777" w:rsidR="00D205E4" w:rsidRPr="00532BB1" w:rsidRDefault="00D205E4" w:rsidP="00D2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BB1">
              <w:rPr>
                <w:rFonts w:ascii="Times New Roman" w:hAnsi="Times New Roman" w:cs="Times New Roman"/>
                <w:sz w:val="24"/>
                <w:szCs w:val="24"/>
              </w:rPr>
              <w:t>.Інформація про відповідність запропонованого предмету закупівлі вимогам документації повинна бути підтверджена копіями сертифікатів відповідності та/або декларації відповідності від виробника, що підтверджують якість предмету закупівлі.</w:t>
            </w: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68CF38E2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вартість квадрокоптерів була сформована на момент підготовки документів для участі в обласному  проекті «БЕЗПЕЧНІ СТІЙКІ ГРОМАДИ»  «Разом до Перемоги- Козятинська громада підтримує ЗСУ» 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21CCEC3A" w:rsidR="000358FC" w:rsidRPr="001F38B0" w:rsidRDefault="00275A4C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1290000,00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Один мільйон двісті дев’яносто 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ПДВ.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632100,</w:t>
            </w:r>
            <w:r w:rsidR="00D205E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- Фонд обласного бюджету,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657900,00</w:t>
            </w:r>
            <w:r w:rsidR="006A05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-Фонд місцевого бюджету)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717281C6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 по 3 цінові пропозиції. Середня ринкова вартість квадрокоптерів була сформована на момент підготовки документів для участі в обласному  проекті «БЕЗПЕЧНІ СТІЙКІ ГРОМАДИ»  «Разом до Перемоги- Козятинська громада підтримує ЗСУ» 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275A4C"/>
    <w:rsid w:val="002A7111"/>
    <w:rsid w:val="00352B90"/>
    <w:rsid w:val="00355CCB"/>
    <w:rsid w:val="004426EA"/>
    <w:rsid w:val="004A4670"/>
    <w:rsid w:val="0058607F"/>
    <w:rsid w:val="00591833"/>
    <w:rsid w:val="005B418E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29A5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5E4"/>
    <w:rsid w:val="00D212AD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lan/view/30671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4059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2024-11-01T10:08:00Z</cp:lastPrinted>
  <dcterms:created xsi:type="dcterms:W3CDTF">2022-07-25T09:06:00Z</dcterms:created>
  <dcterms:modified xsi:type="dcterms:W3CDTF">2024-11-04T10:19:00Z</dcterms:modified>
</cp:coreProperties>
</file>