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77777777" w:rsidR="000F324A" w:rsidRPr="00871DEA" w:rsidRDefault="000F324A" w:rsidP="00FD3B33">
      <w:pPr>
        <w:spacing w:after="0" w:line="240" w:lineRule="auto"/>
        <w:rPr>
          <w:rFonts w:ascii="Times New Roman" w:hAnsi="Times New Roman"/>
          <w:color w:val="000000"/>
          <w:sz w:val="28"/>
          <w:szCs w:val="28"/>
        </w:rPr>
      </w:pPr>
    </w:p>
    <w:p w14:paraId="2410E2A3" w14:textId="77777777" w:rsidR="00DB3BC7" w:rsidRPr="001127A6" w:rsidRDefault="001D0424" w:rsidP="00DB3BC7">
      <w:pPr>
        <w:spacing w:after="0" w:line="240" w:lineRule="auto"/>
        <w:ind w:left="2127"/>
        <w:rPr>
          <w:rFonts w:ascii="Times New Roman" w:hAnsi="Times New Roman"/>
          <w:color w:val="000000"/>
          <w:sz w:val="32"/>
          <w:szCs w:val="32"/>
        </w:rPr>
      </w:pPr>
      <w:r>
        <w:rPr>
          <w:rFonts w:ascii="Times New Roman" w:eastAsia="Times New Roman" w:hAnsi="Times New Roman"/>
          <w:color w:val="000000"/>
          <w:sz w:val="28"/>
          <w:szCs w:val="24"/>
          <w:lang w:val="uk-UA"/>
        </w:rPr>
        <w:t xml:space="preserve">                                 </w:t>
      </w:r>
      <w:r w:rsidR="00DB3BC7">
        <w:rPr>
          <w:rFonts w:ascii="Times New Roman" w:hAnsi="Times New Roman"/>
          <w:noProof/>
          <w:sz w:val="24"/>
          <w:szCs w:val="24"/>
          <w:lang w:val="uk-UA"/>
        </w:rPr>
        <w:t xml:space="preserve"> </w:t>
      </w:r>
      <w:r w:rsidR="00DB3BC7" w:rsidRPr="00967C1E">
        <w:rPr>
          <w:rFonts w:ascii="Times New Roman" w:hAnsi="Times New Roman"/>
          <w:noProof/>
          <w:sz w:val="24"/>
          <w:szCs w:val="24"/>
        </w:rPr>
        <w:drawing>
          <wp:inline distT="0" distB="0" distL="0" distR="0" wp14:anchorId="52C6DA62" wp14:editId="31B4B20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B3BC7">
        <w:rPr>
          <w:rFonts w:ascii="Times New Roman" w:hAnsi="Times New Roman"/>
          <w:noProof/>
          <w:sz w:val="24"/>
          <w:szCs w:val="24"/>
        </w:rPr>
        <w:t xml:space="preserve">                                                </w:t>
      </w:r>
      <w:r w:rsidR="00DB3BC7">
        <w:rPr>
          <w:rFonts w:ascii="Times New Roman" w:hAnsi="Times New Roman"/>
          <w:noProof/>
          <w:sz w:val="32"/>
          <w:szCs w:val="32"/>
        </w:rPr>
        <w:t xml:space="preserve"> </w:t>
      </w:r>
    </w:p>
    <w:p w14:paraId="36D342C9" w14:textId="77777777" w:rsidR="00DB3BC7" w:rsidRDefault="00DB3BC7" w:rsidP="00DB3BC7">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61B5DC01" w14:textId="77777777" w:rsidR="00DB3BC7" w:rsidRPr="00D82B2C" w:rsidRDefault="00DB3BC7" w:rsidP="00DB3BC7">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18C5FB0A" w14:textId="77777777" w:rsidR="00DB3BC7" w:rsidRPr="00C91996" w:rsidRDefault="00DB3BC7" w:rsidP="00DB3BC7">
      <w:pPr>
        <w:spacing w:after="0" w:line="240" w:lineRule="auto"/>
        <w:jc w:val="center"/>
        <w:rPr>
          <w:rFonts w:ascii="Times New Roman" w:hAnsi="Times New Roman"/>
          <w:color w:val="000000"/>
          <w:sz w:val="28"/>
          <w:szCs w:val="28"/>
        </w:rPr>
      </w:pPr>
    </w:p>
    <w:p w14:paraId="7E3C7EF4" w14:textId="77777777" w:rsidR="00DB3BC7" w:rsidRDefault="00DB3BC7" w:rsidP="00DB3BC7">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1DF4C0D" w14:textId="77777777" w:rsidR="00DB3BC7" w:rsidRPr="00BB3CC6" w:rsidRDefault="00DB3BC7" w:rsidP="00DB3BC7">
      <w:pPr>
        <w:spacing w:after="0" w:line="240" w:lineRule="auto"/>
        <w:jc w:val="center"/>
        <w:rPr>
          <w:rFonts w:ascii="Times New Roman" w:hAnsi="Times New Roman"/>
          <w:color w:val="000000"/>
          <w:sz w:val="28"/>
          <w:szCs w:val="28"/>
        </w:rPr>
      </w:pPr>
    </w:p>
    <w:p w14:paraId="1E7580D7" w14:textId="12C50760" w:rsidR="00DB3BC7" w:rsidRPr="00707A37" w:rsidRDefault="00DB3BC7" w:rsidP="00DB3BC7">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lang w:val="uk-UA"/>
        </w:rPr>
        <w:t>24</w:t>
      </w:r>
      <w:r w:rsidRPr="00707A37">
        <w:rPr>
          <w:rFonts w:ascii="Times New Roman" w:hAnsi="Times New Roman"/>
          <w:sz w:val="28"/>
          <w:u w:val="single"/>
        </w:rPr>
        <w:t>.</w:t>
      </w:r>
      <w:r>
        <w:rPr>
          <w:rFonts w:ascii="Times New Roman" w:hAnsi="Times New Roman"/>
          <w:sz w:val="28"/>
          <w:u w:val="single"/>
        </w:rPr>
        <w:t>10.</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w:t>
      </w:r>
      <w:r>
        <w:rPr>
          <w:rFonts w:ascii="Times New Roman" w:hAnsi="Times New Roman"/>
          <w:sz w:val="28"/>
          <w:u w:val="single"/>
          <w:lang w:val="uk-UA"/>
        </w:rPr>
        <w:t>709</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lang w:val="uk-UA"/>
        </w:rPr>
        <w:t>2</w:t>
      </w:r>
      <w:r w:rsidRPr="00C370F3">
        <w:rPr>
          <w:rFonts w:ascii="Times New Roman" w:hAnsi="Times New Roman"/>
          <w:sz w:val="28"/>
          <w:u w:val="single"/>
        </w:rPr>
        <w:t xml:space="preserve"> (п)</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56F76070" w14:textId="1CDC8429" w:rsidR="00B819D6" w:rsidRPr="00DB3BC7" w:rsidRDefault="00B819D6" w:rsidP="00DB3BC7">
      <w:pPr>
        <w:spacing w:after="0" w:line="240" w:lineRule="auto"/>
        <w:ind w:left="2127"/>
        <w:rPr>
          <w:sz w:val="28"/>
          <w:u w:val="single"/>
        </w:rPr>
      </w:pPr>
    </w:p>
    <w:p w14:paraId="20A6A34B" w14:textId="69D31630" w:rsidR="00B819D6" w:rsidRPr="00855FFE" w:rsidRDefault="00B819D6" w:rsidP="00B819D6">
      <w:pPr>
        <w:suppressAutoHyphens/>
        <w:spacing w:after="0" w:line="240" w:lineRule="auto"/>
        <w:rPr>
          <w:rFonts w:ascii="Times New Roman" w:hAnsi="Times New Roman"/>
          <w:b/>
          <w:sz w:val="28"/>
          <w:szCs w:val="28"/>
          <w:lang w:val="uk-UA" w:eastAsia="ar-SA"/>
        </w:rPr>
      </w:pPr>
      <w:r w:rsidRPr="00855FFE">
        <w:rPr>
          <w:rFonts w:ascii="Times New Roman" w:hAnsi="Times New Roman"/>
          <w:b/>
          <w:sz w:val="28"/>
          <w:szCs w:val="28"/>
          <w:lang w:val="uk-UA" w:eastAsia="ar-SA"/>
        </w:rPr>
        <w:t>Про  внесення  змін до рішення 20 сесії міської ради  8 скликання від  24.12.2021 року  №</w:t>
      </w:r>
      <w:r w:rsidR="00AF3F64">
        <w:rPr>
          <w:rFonts w:ascii="Times New Roman" w:hAnsi="Times New Roman"/>
          <w:b/>
          <w:sz w:val="28"/>
          <w:szCs w:val="28"/>
          <w:lang w:val="uk-UA" w:eastAsia="ar-SA"/>
        </w:rPr>
        <w:t xml:space="preserve"> </w:t>
      </w:r>
      <w:bookmarkStart w:id="0" w:name="_GoBack"/>
      <w:bookmarkEnd w:id="0"/>
      <w:r w:rsidRPr="00855FFE">
        <w:rPr>
          <w:rFonts w:ascii="Times New Roman" w:hAnsi="Times New Roman"/>
          <w:b/>
          <w:sz w:val="28"/>
          <w:szCs w:val="28"/>
          <w:lang w:val="uk-UA" w:eastAsia="ar-SA"/>
        </w:rPr>
        <w:t>699-</w:t>
      </w:r>
      <w:r w:rsidRPr="00B819D6">
        <w:rPr>
          <w:rFonts w:ascii="Times New Roman" w:hAnsi="Times New Roman"/>
          <w:b/>
          <w:sz w:val="28"/>
          <w:szCs w:val="28"/>
          <w:lang w:val="en-US" w:eastAsia="ar-SA"/>
        </w:rPr>
        <w:t>VII</w:t>
      </w:r>
      <w:r w:rsidRPr="00855FFE">
        <w:rPr>
          <w:rFonts w:ascii="Times New Roman" w:hAnsi="Times New Roman"/>
          <w:b/>
          <w:sz w:val="28"/>
          <w:szCs w:val="28"/>
          <w:lang w:val="uk-UA" w:eastAsia="ar-SA"/>
        </w:rPr>
        <w:t xml:space="preserve"> </w:t>
      </w:r>
      <w:r w:rsidR="00855FFE">
        <w:rPr>
          <w:rFonts w:ascii="Times New Roman" w:hAnsi="Times New Roman"/>
          <w:b/>
          <w:sz w:val="28"/>
          <w:szCs w:val="28"/>
          <w:lang w:val="uk-UA" w:eastAsia="ar-SA"/>
        </w:rPr>
        <w:t>( зі змінами від 17.10.2024р. № 1611-</w:t>
      </w:r>
      <w:r w:rsidR="00855FFE">
        <w:rPr>
          <w:rFonts w:ascii="Times New Roman" w:hAnsi="Times New Roman"/>
          <w:b/>
          <w:sz w:val="28"/>
          <w:szCs w:val="28"/>
          <w:lang w:val="en-US" w:eastAsia="ar-SA"/>
        </w:rPr>
        <w:t>V</w:t>
      </w:r>
      <w:r w:rsidR="00855FFE">
        <w:rPr>
          <w:rFonts w:ascii="Times New Roman" w:hAnsi="Times New Roman"/>
          <w:b/>
          <w:sz w:val="28"/>
          <w:szCs w:val="28"/>
          <w:lang w:val="uk-UA" w:eastAsia="ar-SA"/>
        </w:rPr>
        <w:t xml:space="preserve">ІІІ) </w:t>
      </w:r>
      <w:r w:rsidRPr="00855FFE">
        <w:rPr>
          <w:rFonts w:ascii="Times New Roman" w:hAnsi="Times New Roman"/>
          <w:b/>
          <w:sz w:val="28"/>
          <w:szCs w:val="28"/>
          <w:lang w:val="uk-UA" w:eastAsia="ar-SA"/>
        </w:rPr>
        <w:t>«Про  Програму компенсаційних виплат  за надані пільги окремим категоріям громадян  Козятинської міської територіальної громади на 2022-2024 роки»</w:t>
      </w:r>
    </w:p>
    <w:p w14:paraId="33D346AB" w14:textId="77777777" w:rsidR="00B819D6" w:rsidRPr="00855FFE" w:rsidRDefault="00B819D6" w:rsidP="00B819D6">
      <w:pPr>
        <w:suppressAutoHyphens/>
        <w:spacing w:after="0" w:line="240" w:lineRule="auto"/>
        <w:rPr>
          <w:rFonts w:ascii="Times New Roman" w:hAnsi="Times New Roman"/>
          <w:b/>
          <w:sz w:val="28"/>
          <w:szCs w:val="28"/>
          <w:lang w:val="uk-UA" w:eastAsia="ar-SA"/>
        </w:rPr>
      </w:pPr>
    </w:p>
    <w:p w14:paraId="4B4AE078" w14:textId="77777777" w:rsidR="00B819D6" w:rsidRPr="00855FFE" w:rsidRDefault="00B819D6" w:rsidP="00B819D6">
      <w:pPr>
        <w:suppressAutoHyphens/>
        <w:spacing w:after="0" w:line="240" w:lineRule="auto"/>
        <w:ind w:firstLine="1134"/>
        <w:jc w:val="both"/>
        <w:rPr>
          <w:rFonts w:ascii="Times New Roman" w:hAnsi="Times New Roman"/>
          <w:sz w:val="28"/>
          <w:szCs w:val="28"/>
          <w:lang w:val="uk-UA" w:eastAsia="ar-SA"/>
        </w:rPr>
      </w:pPr>
      <w:r w:rsidRPr="00855FFE">
        <w:rPr>
          <w:rFonts w:ascii="Times New Roman" w:hAnsi="Times New Roman"/>
          <w:sz w:val="28"/>
          <w:szCs w:val="28"/>
          <w:lang w:val="uk-UA" w:eastAsia="ar-SA"/>
        </w:rPr>
        <w:t>Відповідно до п. 22 ч. 1 ст. 26 Закону України «Про місцеве самоврядування в Україні», п.3)б) ч. 1 ст. 91 Бюджетного кодексу України, у зв’язку з обмежим фінансування на відшкодування пільг для окремих категорій  громадян, що передбачені чинним законодавством, виходячи із можливостей бюджету міської територіальної громади, міська рада</w:t>
      </w:r>
    </w:p>
    <w:p w14:paraId="129226FA" w14:textId="77777777" w:rsidR="00B819D6" w:rsidRPr="00855FFE" w:rsidRDefault="00B819D6" w:rsidP="00B819D6">
      <w:pPr>
        <w:suppressAutoHyphens/>
        <w:spacing w:after="0" w:line="240" w:lineRule="auto"/>
        <w:jc w:val="both"/>
        <w:rPr>
          <w:rFonts w:ascii="Times New Roman" w:hAnsi="Times New Roman"/>
          <w:sz w:val="28"/>
          <w:szCs w:val="28"/>
          <w:lang w:val="uk-UA" w:eastAsia="ar-SA"/>
        </w:rPr>
      </w:pPr>
    </w:p>
    <w:p w14:paraId="0BEDEDF6" w14:textId="5F924D55" w:rsidR="00B819D6" w:rsidRDefault="00B819D6" w:rsidP="00B819D6">
      <w:pPr>
        <w:suppressAutoHyphens/>
        <w:spacing w:after="0" w:line="240" w:lineRule="auto"/>
        <w:jc w:val="center"/>
        <w:rPr>
          <w:rFonts w:ascii="Times New Roman" w:hAnsi="Times New Roman"/>
          <w:b/>
          <w:bCs/>
          <w:sz w:val="28"/>
          <w:szCs w:val="28"/>
          <w:lang w:eastAsia="ar-SA"/>
        </w:rPr>
      </w:pPr>
      <w:r w:rsidRPr="00DB3BC7">
        <w:rPr>
          <w:rFonts w:ascii="Times New Roman" w:hAnsi="Times New Roman"/>
          <w:b/>
          <w:bCs/>
          <w:sz w:val="28"/>
          <w:szCs w:val="28"/>
          <w:lang w:eastAsia="ar-SA"/>
        </w:rPr>
        <w:t>В</w:t>
      </w:r>
      <w:r w:rsidR="00DB3BC7">
        <w:rPr>
          <w:rFonts w:ascii="Times New Roman" w:hAnsi="Times New Roman"/>
          <w:b/>
          <w:bCs/>
          <w:sz w:val="28"/>
          <w:szCs w:val="28"/>
          <w:lang w:val="uk-UA" w:eastAsia="ar-SA"/>
        </w:rPr>
        <w:t xml:space="preserve"> </w:t>
      </w:r>
      <w:r w:rsidRPr="00DB3BC7">
        <w:rPr>
          <w:rFonts w:ascii="Times New Roman" w:hAnsi="Times New Roman"/>
          <w:b/>
          <w:bCs/>
          <w:sz w:val="28"/>
          <w:szCs w:val="28"/>
          <w:lang w:eastAsia="ar-SA"/>
        </w:rPr>
        <w:t>И</w:t>
      </w:r>
      <w:r w:rsidR="00DB3BC7">
        <w:rPr>
          <w:rFonts w:ascii="Times New Roman" w:hAnsi="Times New Roman"/>
          <w:b/>
          <w:bCs/>
          <w:sz w:val="28"/>
          <w:szCs w:val="28"/>
          <w:lang w:val="uk-UA" w:eastAsia="ar-SA"/>
        </w:rPr>
        <w:t xml:space="preserve"> </w:t>
      </w:r>
      <w:r w:rsidRPr="00DB3BC7">
        <w:rPr>
          <w:rFonts w:ascii="Times New Roman" w:hAnsi="Times New Roman"/>
          <w:b/>
          <w:bCs/>
          <w:sz w:val="28"/>
          <w:szCs w:val="28"/>
          <w:lang w:eastAsia="ar-SA"/>
        </w:rPr>
        <w:t>Р</w:t>
      </w:r>
      <w:r w:rsidR="00DB3BC7">
        <w:rPr>
          <w:rFonts w:ascii="Times New Roman" w:hAnsi="Times New Roman"/>
          <w:b/>
          <w:bCs/>
          <w:sz w:val="28"/>
          <w:szCs w:val="28"/>
          <w:lang w:val="uk-UA" w:eastAsia="ar-SA"/>
        </w:rPr>
        <w:t xml:space="preserve"> </w:t>
      </w:r>
      <w:r w:rsidRPr="00DB3BC7">
        <w:rPr>
          <w:rFonts w:ascii="Times New Roman" w:hAnsi="Times New Roman"/>
          <w:b/>
          <w:bCs/>
          <w:sz w:val="28"/>
          <w:szCs w:val="28"/>
          <w:lang w:eastAsia="ar-SA"/>
        </w:rPr>
        <w:t>І</w:t>
      </w:r>
      <w:r w:rsidR="00DB3BC7">
        <w:rPr>
          <w:rFonts w:ascii="Times New Roman" w:hAnsi="Times New Roman"/>
          <w:b/>
          <w:bCs/>
          <w:sz w:val="28"/>
          <w:szCs w:val="28"/>
          <w:lang w:val="uk-UA" w:eastAsia="ar-SA"/>
        </w:rPr>
        <w:t xml:space="preserve"> </w:t>
      </w:r>
      <w:r w:rsidRPr="00DB3BC7">
        <w:rPr>
          <w:rFonts w:ascii="Times New Roman" w:hAnsi="Times New Roman"/>
          <w:b/>
          <w:bCs/>
          <w:sz w:val="28"/>
          <w:szCs w:val="28"/>
          <w:lang w:eastAsia="ar-SA"/>
        </w:rPr>
        <w:t>Ш</w:t>
      </w:r>
      <w:r w:rsidR="00DB3BC7">
        <w:rPr>
          <w:rFonts w:ascii="Times New Roman" w:hAnsi="Times New Roman"/>
          <w:b/>
          <w:bCs/>
          <w:sz w:val="28"/>
          <w:szCs w:val="28"/>
          <w:lang w:val="uk-UA" w:eastAsia="ar-SA"/>
        </w:rPr>
        <w:t xml:space="preserve"> </w:t>
      </w:r>
      <w:r w:rsidRPr="00DB3BC7">
        <w:rPr>
          <w:rFonts w:ascii="Times New Roman" w:hAnsi="Times New Roman"/>
          <w:b/>
          <w:bCs/>
          <w:sz w:val="28"/>
          <w:szCs w:val="28"/>
          <w:lang w:eastAsia="ar-SA"/>
        </w:rPr>
        <w:t>И</w:t>
      </w:r>
      <w:r w:rsidR="00DB3BC7">
        <w:rPr>
          <w:rFonts w:ascii="Times New Roman" w:hAnsi="Times New Roman"/>
          <w:b/>
          <w:bCs/>
          <w:sz w:val="28"/>
          <w:szCs w:val="28"/>
          <w:lang w:val="uk-UA" w:eastAsia="ar-SA"/>
        </w:rPr>
        <w:t xml:space="preserve"> </w:t>
      </w:r>
      <w:r w:rsidRPr="00DB3BC7">
        <w:rPr>
          <w:rFonts w:ascii="Times New Roman" w:hAnsi="Times New Roman"/>
          <w:b/>
          <w:bCs/>
          <w:sz w:val="28"/>
          <w:szCs w:val="28"/>
          <w:lang w:eastAsia="ar-SA"/>
        </w:rPr>
        <w:t>Л</w:t>
      </w:r>
      <w:r w:rsidR="00DB3BC7">
        <w:rPr>
          <w:rFonts w:ascii="Times New Roman" w:hAnsi="Times New Roman"/>
          <w:b/>
          <w:bCs/>
          <w:sz w:val="28"/>
          <w:szCs w:val="28"/>
          <w:lang w:val="uk-UA" w:eastAsia="ar-SA"/>
        </w:rPr>
        <w:t xml:space="preserve"> </w:t>
      </w:r>
      <w:r w:rsidRPr="00DB3BC7">
        <w:rPr>
          <w:rFonts w:ascii="Times New Roman" w:hAnsi="Times New Roman"/>
          <w:b/>
          <w:bCs/>
          <w:sz w:val="28"/>
          <w:szCs w:val="28"/>
          <w:lang w:eastAsia="ar-SA"/>
        </w:rPr>
        <w:t>А:</w:t>
      </w:r>
    </w:p>
    <w:p w14:paraId="0AAD9D82" w14:textId="77777777" w:rsidR="00DB3BC7" w:rsidRPr="00DB3BC7" w:rsidRDefault="00DB3BC7" w:rsidP="00B819D6">
      <w:pPr>
        <w:suppressAutoHyphens/>
        <w:spacing w:after="0" w:line="240" w:lineRule="auto"/>
        <w:jc w:val="center"/>
        <w:rPr>
          <w:rFonts w:ascii="Times New Roman" w:hAnsi="Times New Roman"/>
          <w:b/>
          <w:bCs/>
          <w:sz w:val="28"/>
          <w:szCs w:val="28"/>
          <w:lang w:eastAsia="ar-SA"/>
        </w:rPr>
      </w:pPr>
    </w:p>
    <w:p w14:paraId="41CE9F21" w14:textId="77777777" w:rsidR="00B819D6" w:rsidRPr="00B819D6" w:rsidRDefault="00B819D6" w:rsidP="00B819D6">
      <w:pPr>
        <w:numPr>
          <w:ilvl w:val="0"/>
          <w:numId w:val="12"/>
        </w:numPr>
        <w:suppressAutoHyphens/>
        <w:spacing w:after="0" w:line="240" w:lineRule="auto"/>
        <w:jc w:val="both"/>
        <w:rPr>
          <w:rFonts w:ascii="Times New Roman" w:hAnsi="Times New Roman"/>
          <w:sz w:val="28"/>
          <w:szCs w:val="28"/>
          <w:lang w:eastAsia="ar-SA"/>
        </w:rPr>
      </w:pPr>
      <w:proofErr w:type="gramStart"/>
      <w:r w:rsidRPr="00B819D6">
        <w:rPr>
          <w:rFonts w:ascii="Times New Roman" w:hAnsi="Times New Roman"/>
          <w:sz w:val="28"/>
          <w:szCs w:val="28"/>
          <w:lang w:eastAsia="ar-SA"/>
        </w:rPr>
        <w:t xml:space="preserve">Внести  </w:t>
      </w:r>
      <w:proofErr w:type="spellStart"/>
      <w:r w:rsidRPr="00B819D6">
        <w:rPr>
          <w:rFonts w:ascii="Times New Roman" w:hAnsi="Times New Roman"/>
          <w:sz w:val="28"/>
          <w:szCs w:val="28"/>
          <w:lang w:eastAsia="ar-SA"/>
        </w:rPr>
        <w:t>зміни</w:t>
      </w:r>
      <w:proofErr w:type="spellEnd"/>
      <w:proofErr w:type="gramEnd"/>
      <w:r w:rsidRPr="00B819D6">
        <w:rPr>
          <w:rFonts w:ascii="Times New Roman" w:hAnsi="Times New Roman"/>
          <w:b/>
          <w:sz w:val="28"/>
          <w:szCs w:val="28"/>
          <w:lang w:eastAsia="ar-SA"/>
        </w:rPr>
        <w:t xml:space="preserve"> </w:t>
      </w:r>
      <w:r w:rsidRPr="00B819D6">
        <w:rPr>
          <w:rFonts w:ascii="Times New Roman" w:hAnsi="Times New Roman"/>
          <w:bCs/>
          <w:sz w:val="28"/>
          <w:szCs w:val="28"/>
          <w:lang w:eastAsia="ar-SA"/>
        </w:rPr>
        <w:t xml:space="preserve">до </w:t>
      </w:r>
      <w:proofErr w:type="spellStart"/>
      <w:r w:rsidRPr="00B819D6">
        <w:rPr>
          <w:rFonts w:ascii="Times New Roman" w:hAnsi="Times New Roman"/>
          <w:bCs/>
          <w:sz w:val="28"/>
          <w:szCs w:val="28"/>
          <w:lang w:eastAsia="ar-SA"/>
        </w:rPr>
        <w:t>рішення</w:t>
      </w:r>
      <w:proofErr w:type="spellEnd"/>
      <w:r w:rsidRPr="00B819D6">
        <w:rPr>
          <w:rFonts w:ascii="Times New Roman" w:hAnsi="Times New Roman"/>
          <w:bCs/>
          <w:sz w:val="28"/>
          <w:szCs w:val="28"/>
          <w:lang w:eastAsia="ar-SA"/>
        </w:rPr>
        <w:t xml:space="preserve"> 20 </w:t>
      </w:r>
      <w:proofErr w:type="spellStart"/>
      <w:r w:rsidRPr="00B819D6">
        <w:rPr>
          <w:rFonts w:ascii="Times New Roman" w:hAnsi="Times New Roman"/>
          <w:bCs/>
          <w:sz w:val="28"/>
          <w:szCs w:val="28"/>
          <w:lang w:eastAsia="ar-SA"/>
        </w:rPr>
        <w:t>сесії</w:t>
      </w:r>
      <w:proofErr w:type="spellEnd"/>
      <w:r w:rsidRPr="00B819D6">
        <w:rPr>
          <w:rFonts w:ascii="Times New Roman" w:hAnsi="Times New Roman"/>
          <w:bCs/>
          <w:sz w:val="28"/>
          <w:szCs w:val="28"/>
          <w:lang w:eastAsia="ar-SA"/>
        </w:rPr>
        <w:t xml:space="preserve"> </w:t>
      </w:r>
      <w:proofErr w:type="spellStart"/>
      <w:r w:rsidRPr="00B819D6">
        <w:rPr>
          <w:rFonts w:ascii="Times New Roman" w:hAnsi="Times New Roman"/>
          <w:bCs/>
          <w:sz w:val="28"/>
          <w:szCs w:val="28"/>
          <w:lang w:eastAsia="ar-SA"/>
        </w:rPr>
        <w:t>міської</w:t>
      </w:r>
      <w:proofErr w:type="spellEnd"/>
      <w:r w:rsidRPr="00B819D6">
        <w:rPr>
          <w:rFonts w:ascii="Times New Roman" w:hAnsi="Times New Roman"/>
          <w:bCs/>
          <w:sz w:val="28"/>
          <w:szCs w:val="28"/>
          <w:lang w:eastAsia="ar-SA"/>
        </w:rPr>
        <w:t xml:space="preserve"> ради  8 </w:t>
      </w:r>
      <w:proofErr w:type="spellStart"/>
      <w:r w:rsidRPr="00B819D6">
        <w:rPr>
          <w:rFonts w:ascii="Times New Roman" w:hAnsi="Times New Roman"/>
          <w:bCs/>
          <w:sz w:val="28"/>
          <w:szCs w:val="28"/>
          <w:lang w:eastAsia="ar-SA"/>
        </w:rPr>
        <w:t>скликання</w:t>
      </w:r>
      <w:proofErr w:type="spellEnd"/>
      <w:r w:rsidRPr="00B819D6">
        <w:rPr>
          <w:rFonts w:ascii="Times New Roman" w:hAnsi="Times New Roman"/>
          <w:bCs/>
          <w:sz w:val="28"/>
          <w:szCs w:val="28"/>
          <w:lang w:eastAsia="ar-SA"/>
        </w:rPr>
        <w:t xml:space="preserve"> </w:t>
      </w:r>
      <w:proofErr w:type="spellStart"/>
      <w:r w:rsidRPr="00B819D6">
        <w:rPr>
          <w:rFonts w:ascii="Times New Roman" w:hAnsi="Times New Roman"/>
          <w:bCs/>
          <w:sz w:val="28"/>
          <w:szCs w:val="28"/>
          <w:lang w:eastAsia="ar-SA"/>
        </w:rPr>
        <w:t>від</w:t>
      </w:r>
      <w:proofErr w:type="spellEnd"/>
      <w:r w:rsidRPr="00B819D6">
        <w:rPr>
          <w:rFonts w:ascii="Times New Roman" w:hAnsi="Times New Roman"/>
          <w:bCs/>
          <w:sz w:val="28"/>
          <w:szCs w:val="28"/>
          <w:lang w:eastAsia="ar-SA"/>
        </w:rPr>
        <w:t xml:space="preserve">  24.12.2021 року  №699-</w:t>
      </w:r>
      <w:r w:rsidRPr="00B819D6">
        <w:rPr>
          <w:rFonts w:ascii="Times New Roman" w:hAnsi="Times New Roman"/>
          <w:bCs/>
          <w:sz w:val="28"/>
          <w:szCs w:val="28"/>
          <w:lang w:val="en-US" w:eastAsia="ar-SA"/>
        </w:rPr>
        <w:t>VII</w:t>
      </w:r>
      <w:r w:rsidRPr="00B819D6">
        <w:rPr>
          <w:rFonts w:ascii="Times New Roman" w:hAnsi="Times New Roman"/>
          <w:sz w:val="28"/>
          <w:szCs w:val="28"/>
          <w:lang w:eastAsia="ar-SA"/>
        </w:rPr>
        <w:t xml:space="preserve"> «Про </w:t>
      </w:r>
      <w:proofErr w:type="spellStart"/>
      <w:r w:rsidRPr="00B819D6">
        <w:rPr>
          <w:rFonts w:ascii="Times New Roman" w:hAnsi="Times New Roman"/>
          <w:sz w:val="28"/>
          <w:szCs w:val="28"/>
          <w:lang w:eastAsia="ar-SA"/>
        </w:rPr>
        <w:t>Програму</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компенсаційних</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виплат</w:t>
      </w:r>
      <w:proofErr w:type="spellEnd"/>
      <w:r w:rsidRPr="00B819D6">
        <w:rPr>
          <w:rFonts w:ascii="Times New Roman" w:hAnsi="Times New Roman"/>
          <w:sz w:val="28"/>
          <w:szCs w:val="28"/>
          <w:lang w:eastAsia="ar-SA"/>
        </w:rPr>
        <w:t xml:space="preserve"> за </w:t>
      </w:r>
      <w:proofErr w:type="spellStart"/>
      <w:r w:rsidRPr="00B819D6">
        <w:rPr>
          <w:rFonts w:ascii="Times New Roman" w:hAnsi="Times New Roman"/>
          <w:sz w:val="28"/>
          <w:szCs w:val="28"/>
          <w:lang w:eastAsia="ar-SA"/>
        </w:rPr>
        <w:t>надані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пільги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окремим</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категоріям</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громадян</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Козятинської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міської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територіальної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громади</w:t>
      </w:r>
      <w:proofErr w:type="spellEnd"/>
      <w:r w:rsidRPr="00B819D6">
        <w:rPr>
          <w:rFonts w:ascii="Times New Roman" w:hAnsi="Times New Roman"/>
          <w:sz w:val="28"/>
          <w:szCs w:val="28"/>
          <w:lang w:eastAsia="ar-SA"/>
        </w:rPr>
        <w:t xml:space="preserve"> на 2022-2024 роки» та </w:t>
      </w:r>
      <w:proofErr w:type="spellStart"/>
      <w:r w:rsidRPr="00B819D6">
        <w:rPr>
          <w:rFonts w:ascii="Times New Roman" w:hAnsi="Times New Roman"/>
          <w:sz w:val="28"/>
          <w:szCs w:val="28"/>
          <w:lang w:eastAsia="ar-SA"/>
        </w:rPr>
        <w:t>викласти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вновій</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редакції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додаток</w:t>
      </w:r>
      <w:proofErr w:type="spellEnd"/>
      <w:r w:rsidRPr="00B819D6">
        <w:rPr>
          <w:rFonts w:ascii="Times New Roman" w:hAnsi="Times New Roman"/>
          <w:sz w:val="28"/>
          <w:szCs w:val="28"/>
          <w:lang w:eastAsia="ar-SA"/>
        </w:rPr>
        <w:t xml:space="preserve"> №1).</w:t>
      </w:r>
    </w:p>
    <w:p w14:paraId="2EBB87A3" w14:textId="77777777" w:rsidR="00B819D6" w:rsidRPr="00B819D6" w:rsidRDefault="00B819D6" w:rsidP="00B819D6">
      <w:pPr>
        <w:numPr>
          <w:ilvl w:val="0"/>
          <w:numId w:val="12"/>
        </w:numPr>
        <w:suppressAutoHyphens/>
        <w:spacing w:after="0" w:line="240" w:lineRule="auto"/>
        <w:jc w:val="both"/>
        <w:rPr>
          <w:rFonts w:ascii="Times New Roman" w:hAnsi="Times New Roman"/>
          <w:sz w:val="28"/>
          <w:szCs w:val="28"/>
          <w:lang w:eastAsia="ar-SA"/>
        </w:rPr>
      </w:pPr>
      <w:r w:rsidRPr="00B819D6">
        <w:rPr>
          <w:rFonts w:ascii="Times New Roman" w:hAnsi="Times New Roman"/>
          <w:sz w:val="28"/>
          <w:szCs w:val="28"/>
          <w:lang w:eastAsia="ar-SA"/>
        </w:rPr>
        <w:t xml:space="preserve">Контроль за </w:t>
      </w:r>
      <w:proofErr w:type="spellStart"/>
      <w:r w:rsidRPr="00B819D6">
        <w:rPr>
          <w:rFonts w:ascii="Times New Roman" w:hAnsi="Times New Roman"/>
          <w:sz w:val="28"/>
          <w:szCs w:val="28"/>
          <w:lang w:eastAsia="ar-SA"/>
        </w:rPr>
        <w:t>виконанням</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цього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рішення</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покласти</w:t>
      </w:r>
      <w:proofErr w:type="spellEnd"/>
      <w:r w:rsidRPr="00B819D6">
        <w:rPr>
          <w:rFonts w:ascii="Times New Roman" w:hAnsi="Times New Roman"/>
          <w:sz w:val="28"/>
          <w:szCs w:val="28"/>
          <w:lang w:eastAsia="ar-SA"/>
        </w:rPr>
        <w:t xml:space="preserve"> на </w:t>
      </w:r>
      <w:proofErr w:type="spellStart"/>
      <w:r w:rsidRPr="00B819D6">
        <w:rPr>
          <w:rFonts w:ascii="Times New Roman" w:hAnsi="Times New Roman"/>
          <w:sz w:val="28"/>
          <w:szCs w:val="28"/>
          <w:lang w:eastAsia="ar-SA"/>
        </w:rPr>
        <w:t>постійні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депутатські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комісії</w:t>
      </w:r>
      <w:proofErr w:type="spellEnd"/>
      <w:r w:rsidRPr="00B819D6">
        <w:rPr>
          <w:rFonts w:ascii="Times New Roman" w:hAnsi="Times New Roman"/>
          <w:sz w:val="28"/>
          <w:szCs w:val="28"/>
          <w:lang w:eastAsia="ar-SA"/>
        </w:rPr>
        <w:t xml:space="preserve"> з </w:t>
      </w:r>
      <w:proofErr w:type="spellStart"/>
      <w:r w:rsidRPr="00B819D6">
        <w:rPr>
          <w:rFonts w:ascii="Times New Roman" w:hAnsi="Times New Roman"/>
          <w:sz w:val="28"/>
          <w:szCs w:val="28"/>
          <w:lang w:eastAsia="ar-SA"/>
        </w:rPr>
        <w:t>питань</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фінансів</w:t>
      </w:r>
      <w:proofErr w:type="spellEnd"/>
      <w:r w:rsidRPr="00B819D6">
        <w:rPr>
          <w:rFonts w:ascii="Times New Roman" w:hAnsi="Times New Roman"/>
          <w:sz w:val="28"/>
          <w:szCs w:val="28"/>
          <w:lang w:eastAsia="ar-SA"/>
        </w:rPr>
        <w:t xml:space="preserve">, бюджету та </w:t>
      </w:r>
      <w:proofErr w:type="spellStart"/>
      <w:r w:rsidRPr="00B819D6">
        <w:rPr>
          <w:rFonts w:ascii="Times New Roman" w:hAnsi="Times New Roman"/>
          <w:sz w:val="28"/>
          <w:szCs w:val="28"/>
          <w:lang w:eastAsia="ar-SA"/>
        </w:rPr>
        <w:t>соціально-економічного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розвитку</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О.Поліщук</w:t>
      </w:r>
      <w:proofErr w:type="spellEnd"/>
      <w:r w:rsidRPr="00B819D6">
        <w:rPr>
          <w:rFonts w:ascii="Times New Roman" w:hAnsi="Times New Roman"/>
          <w:sz w:val="28"/>
          <w:szCs w:val="28"/>
          <w:lang w:eastAsia="ar-SA"/>
        </w:rPr>
        <w:t xml:space="preserve">) та </w:t>
      </w:r>
      <w:proofErr w:type="spellStart"/>
      <w:r w:rsidRPr="00B819D6">
        <w:rPr>
          <w:rFonts w:ascii="Times New Roman" w:hAnsi="Times New Roman"/>
          <w:sz w:val="28"/>
          <w:szCs w:val="28"/>
          <w:lang w:eastAsia="ar-SA"/>
        </w:rPr>
        <w:t>законності</w:t>
      </w:r>
      <w:proofErr w:type="spellEnd"/>
      <w:r w:rsidRPr="00B819D6">
        <w:rPr>
          <w:rFonts w:ascii="Times New Roman" w:hAnsi="Times New Roman"/>
          <w:sz w:val="28"/>
          <w:szCs w:val="28"/>
          <w:lang w:eastAsia="ar-SA"/>
        </w:rPr>
        <w:t xml:space="preserve">, правопорядку, регламенту, </w:t>
      </w:r>
      <w:proofErr w:type="spellStart"/>
      <w:r w:rsidRPr="00B819D6">
        <w:rPr>
          <w:rFonts w:ascii="Times New Roman" w:hAnsi="Times New Roman"/>
          <w:sz w:val="28"/>
          <w:szCs w:val="28"/>
          <w:lang w:eastAsia="ar-SA"/>
        </w:rPr>
        <w:t>депутатської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діяльності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етики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топоніміки</w:t>
      </w:r>
      <w:proofErr w:type="spellEnd"/>
      <w:r w:rsidRPr="00B819D6">
        <w:rPr>
          <w:rFonts w:ascii="Times New Roman" w:hAnsi="Times New Roman"/>
          <w:sz w:val="28"/>
          <w:szCs w:val="28"/>
          <w:lang w:eastAsia="ar-SA"/>
        </w:rPr>
        <w:t xml:space="preserve">, контролю за </w:t>
      </w:r>
      <w:proofErr w:type="spellStart"/>
      <w:r w:rsidRPr="00B819D6">
        <w:rPr>
          <w:rFonts w:ascii="Times New Roman" w:hAnsi="Times New Roman"/>
          <w:sz w:val="28"/>
          <w:szCs w:val="28"/>
          <w:lang w:eastAsia="ar-SA"/>
        </w:rPr>
        <w:t>діяльністю</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виконавчих</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органів</w:t>
      </w:r>
      <w:proofErr w:type="spellEnd"/>
      <w:r w:rsidRPr="00B819D6">
        <w:rPr>
          <w:rFonts w:ascii="Times New Roman" w:hAnsi="Times New Roman"/>
          <w:sz w:val="28"/>
          <w:szCs w:val="28"/>
          <w:lang w:eastAsia="ar-SA"/>
        </w:rPr>
        <w:t xml:space="preserve"> ради, з </w:t>
      </w:r>
      <w:proofErr w:type="spellStart"/>
      <w:r w:rsidRPr="00B819D6">
        <w:rPr>
          <w:rFonts w:ascii="Times New Roman" w:hAnsi="Times New Roman"/>
          <w:sz w:val="28"/>
          <w:szCs w:val="28"/>
          <w:lang w:eastAsia="ar-SA"/>
        </w:rPr>
        <w:t>гуманітарних</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питань</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соціального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захисту</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населення</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молодіжної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політики</w:t>
      </w:r>
      <w:proofErr w:type="spellEnd"/>
      <w:r w:rsidRPr="00B819D6">
        <w:rPr>
          <w:rFonts w:ascii="Times New Roman" w:hAnsi="Times New Roman"/>
          <w:sz w:val="28"/>
          <w:szCs w:val="28"/>
          <w:lang w:eastAsia="ar-SA"/>
        </w:rPr>
        <w:t xml:space="preserve">, спорту та </w:t>
      </w:r>
      <w:proofErr w:type="spellStart"/>
      <w:r w:rsidRPr="00B819D6">
        <w:rPr>
          <w:rFonts w:ascii="Times New Roman" w:hAnsi="Times New Roman"/>
          <w:sz w:val="28"/>
          <w:szCs w:val="28"/>
          <w:lang w:eastAsia="ar-SA"/>
        </w:rPr>
        <w:t>медичного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обслуговування</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повноважень</w:t>
      </w:r>
      <w:proofErr w:type="spellEnd"/>
      <w:r w:rsidRPr="00B819D6">
        <w:rPr>
          <w:rFonts w:ascii="Times New Roman" w:hAnsi="Times New Roman"/>
          <w:sz w:val="28"/>
          <w:szCs w:val="28"/>
          <w:lang w:eastAsia="ar-SA"/>
        </w:rPr>
        <w:t xml:space="preserve"> з </w:t>
      </w:r>
      <w:proofErr w:type="spellStart"/>
      <w:r w:rsidRPr="00B819D6">
        <w:rPr>
          <w:rFonts w:ascii="Times New Roman" w:hAnsi="Times New Roman"/>
          <w:sz w:val="28"/>
          <w:szCs w:val="28"/>
          <w:lang w:eastAsia="ar-SA"/>
        </w:rPr>
        <w:t>питань</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реалізації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державної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регуляторної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політики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О.Шумський</w:t>
      </w:r>
      <w:proofErr w:type="spellEnd"/>
      <w:r w:rsidRPr="00B819D6">
        <w:rPr>
          <w:rFonts w:ascii="Times New Roman" w:hAnsi="Times New Roman"/>
          <w:sz w:val="28"/>
          <w:szCs w:val="28"/>
          <w:lang w:eastAsia="ar-SA"/>
        </w:rPr>
        <w:t>).</w:t>
      </w:r>
    </w:p>
    <w:p w14:paraId="6B4F391A" w14:textId="77777777" w:rsidR="00B819D6" w:rsidRPr="00B819D6" w:rsidRDefault="00B819D6" w:rsidP="00B819D6">
      <w:pPr>
        <w:suppressAutoHyphens/>
        <w:spacing w:after="0" w:line="240" w:lineRule="auto"/>
        <w:jc w:val="both"/>
        <w:rPr>
          <w:rFonts w:ascii="Times New Roman" w:hAnsi="Times New Roman"/>
          <w:sz w:val="28"/>
          <w:szCs w:val="28"/>
          <w:lang w:eastAsia="ar-SA"/>
        </w:rPr>
      </w:pPr>
    </w:p>
    <w:p w14:paraId="661D5239" w14:textId="77777777" w:rsidR="00B819D6" w:rsidRPr="00B819D6" w:rsidRDefault="00B819D6" w:rsidP="00B819D6">
      <w:pPr>
        <w:suppressAutoHyphens/>
        <w:spacing w:after="0" w:line="240" w:lineRule="auto"/>
        <w:jc w:val="center"/>
        <w:rPr>
          <w:rFonts w:ascii="Times New Roman" w:hAnsi="Times New Roman"/>
          <w:b/>
          <w:sz w:val="28"/>
          <w:szCs w:val="28"/>
          <w:lang w:eastAsia="ar-SA"/>
        </w:rPr>
      </w:pPr>
    </w:p>
    <w:p w14:paraId="6BD1EEAE" w14:textId="1FA03B95" w:rsidR="00966E42" w:rsidRDefault="00855FFE" w:rsidP="00966E42">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t xml:space="preserve">Секретар ради </w:t>
      </w:r>
      <w:r w:rsidR="00B819D6" w:rsidRPr="00B819D6">
        <w:rPr>
          <w:rFonts w:ascii="Times New Roman" w:hAnsi="Times New Roman"/>
          <w:b/>
          <w:sz w:val="28"/>
          <w:szCs w:val="28"/>
          <w:lang w:eastAsia="ar-SA"/>
        </w:rPr>
        <w:t xml:space="preserve">                                              </w:t>
      </w:r>
      <w:r>
        <w:rPr>
          <w:rFonts w:ascii="Times New Roman" w:hAnsi="Times New Roman"/>
          <w:b/>
          <w:sz w:val="28"/>
          <w:szCs w:val="28"/>
          <w:lang w:val="uk-UA" w:eastAsia="ar-SA"/>
        </w:rPr>
        <w:t>Ірина РЕПАЛО</w:t>
      </w:r>
      <w:r w:rsidR="00B819D6" w:rsidRPr="00B819D6">
        <w:rPr>
          <w:rFonts w:ascii="Times New Roman" w:hAnsi="Times New Roman"/>
          <w:b/>
          <w:sz w:val="28"/>
          <w:szCs w:val="28"/>
          <w:lang w:eastAsia="ar-SA"/>
        </w:rPr>
        <w:t xml:space="preserve">  </w:t>
      </w:r>
    </w:p>
    <w:p w14:paraId="0BC68E12" w14:textId="6FBE885D" w:rsidR="00B819D6" w:rsidRPr="00B819D6" w:rsidRDefault="00B819D6" w:rsidP="00966E42">
      <w:pPr>
        <w:suppressAutoHyphens/>
        <w:spacing w:after="0" w:line="240" w:lineRule="auto"/>
        <w:jc w:val="center"/>
        <w:rPr>
          <w:rFonts w:ascii="Times New Roman" w:hAnsi="Times New Roman"/>
          <w:sz w:val="28"/>
          <w:szCs w:val="28"/>
          <w:lang w:eastAsia="ar-SA"/>
        </w:rPr>
      </w:pPr>
      <w:r w:rsidRPr="00B819D6">
        <w:rPr>
          <w:rFonts w:ascii="Times New Roman" w:hAnsi="Times New Roman"/>
          <w:b/>
          <w:sz w:val="28"/>
          <w:szCs w:val="28"/>
          <w:lang w:eastAsia="ar-SA"/>
        </w:rPr>
        <w:t xml:space="preserve">  </w:t>
      </w:r>
    </w:p>
    <w:p w14:paraId="5B4504B5" w14:textId="77777777" w:rsidR="00B819D6" w:rsidRPr="00B819D6" w:rsidRDefault="00B819D6" w:rsidP="00B819D6">
      <w:pPr>
        <w:suppressAutoHyphens/>
        <w:spacing w:after="0" w:line="240" w:lineRule="auto"/>
        <w:jc w:val="both"/>
        <w:rPr>
          <w:rFonts w:ascii="Times New Roman" w:hAnsi="Times New Roman"/>
          <w:sz w:val="28"/>
          <w:szCs w:val="28"/>
          <w:lang w:eastAsia="ar-SA"/>
        </w:rPr>
      </w:pPr>
    </w:p>
    <w:p w14:paraId="08D76072" w14:textId="70195839" w:rsidR="00B819D6" w:rsidRPr="00DB3BC7" w:rsidRDefault="00DB3BC7" w:rsidP="00B819D6">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29C36311" w14:textId="77777777" w:rsidR="00272DCC" w:rsidRDefault="00272DCC" w:rsidP="00B819D6">
      <w:pPr>
        <w:suppressAutoHyphens/>
        <w:spacing w:after="0" w:line="240" w:lineRule="auto"/>
        <w:jc w:val="both"/>
        <w:rPr>
          <w:rFonts w:ascii="Times New Roman" w:hAnsi="Times New Roman"/>
          <w:sz w:val="28"/>
          <w:szCs w:val="28"/>
          <w:lang w:val="uk-UA" w:eastAsia="ar-SA"/>
        </w:rPr>
      </w:pPr>
    </w:p>
    <w:p w14:paraId="47BC5945" w14:textId="77777777" w:rsidR="00272DCC" w:rsidRDefault="00272DCC" w:rsidP="00B819D6">
      <w:pPr>
        <w:suppressAutoHyphens/>
        <w:spacing w:after="0" w:line="240" w:lineRule="auto"/>
        <w:jc w:val="both"/>
        <w:rPr>
          <w:rFonts w:ascii="Times New Roman" w:hAnsi="Times New Roman"/>
          <w:sz w:val="28"/>
          <w:szCs w:val="28"/>
          <w:lang w:val="uk-UA" w:eastAsia="ar-SA"/>
        </w:rPr>
      </w:pPr>
    </w:p>
    <w:p w14:paraId="1FB97A98" w14:textId="175A6F81" w:rsidR="00272DCC" w:rsidRDefault="00272DCC" w:rsidP="00B819D6">
      <w:pPr>
        <w:suppressAutoHyphens/>
        <w:spacing w:after="0" w:line="240" w:lineRule="auto"/>
        <w:jc w:val="both"/>
        <w:rPr>
          <w:rFonts w:ascii="Times New Roman" w:hAnsi="Times New Roman"/>
          <w:sz w:val="28"/>
          <w:szCs w:val="28"/>
          <w:lang w:val="uk-UA" w:eastAsia="ar-SA"/>
        </w:rPr>
      </w:pPr>
    </w:p>
    <w:p w14:paraId="037477D1" w14:textId="26253923" w:rsidR="00DB3BC7" w:rsidRDefault="00DB3BC7" w:rsidP="00B819D6">
      <w:pPr>
        <w:suppressAutoHyphens/>
        <w:spacing w:after="0" w:line="240" w:lineRule="auto"/>
        <w:jc w:val="both"/>
        <w:rPr>
          <w:rFonts w:ascii="Times New Roman" w:hAnsi="Times New Roman"/>
          <w:sz w:val="28"/>
          <w:szCs w:val="28"/>
          <w:lang w:val="uk-UA" w:eastAsia="ar-SA"/>
        </w:rPr>
      </w:pPr>
    </w:p>
    <w:p w14:paraId="7D0DADA2" w14:textId="77777777" w:rsidR="00DB3BC7" w:rsidRPr="00272DCC" w:rsidRDefault="00DB3BC7" w:rsidP="00B819D6">
      <w:pPr>
        <w:suppressAutoHyphens/>
        <w:spacing w:after="0" w:line="240" w:lineRule="auto"/>
        <w:jc w:val="both"/>
        <w:rPr>
          <w:rFonts w:ascii="Times New Roman" w:hAnsi="Times New Roman"/>
          <w:sz w:val="28"/>
          <w:szCs w:val="28"/>
          <w:lang w:val="uk-UA" w:eastAsia="ar-SA"/>
        </w:rPr>
      </w:pPr>
    </w:p>
    <w:p w14:paraId="66D262E2" w14:textId="77777777" w:rsidR="00EA7231" w:rsidRDefault="00EA7231" w:rsidP="00B819D6">
      <w:pPr>
        <w:suppressAutoHyphens/>
        <w:spacing w:after="0" w:line="240" w:lineRule="auto"/>
        <w:jc w:val="both"/>
        <w:rPr>
          <w:rFonts w:ascii="Times New Roman" w:hAnsi="Times New Roman"/>
          <w:sz w:val="28"/>
          <w:szCs w:val="28"/>
          <w:lang w:val="uk-UA" w:eastAsia="ar-SA"/>
        </w:rPr>
      </w:pPr>
    </w:p>
    <w:p w14:paraId="18B7E8B1" w14:textId="77777777" w:rsidR="00C4788E" w:rsidRPr="004626EC" w:rsidRDefault="00C4788E" w:rsidP="00C4788E">
      <w:pPr>
        <w:widowControl w:val="0"/>
        <w:autoSpaceDE w:val="0"/>
        <w:autoSpaceDN w:val="0"/>
        <w:adjustRightInd w:val="0"/>
        <w:spacing w:after="0" w:line="240" w:lineRule="auto"/>
        <w:ind w:left="1480"/>
        <w:jc w:val="right"/>
        <w:rPr>
          <w:rFonts w:ascii="Times New Roman" w:hAnsi="Times New Roman"/>
          <w:bCs/>
          <w:sz w:val="24"/>
          <w:szCs w:val="24"/>
          <w:lang w:val="uk-UA"/>
        </w:rPr>
      </w:pPr>
      <w:r w:rsidRPr="004626EC">
        <w:rPr>
          <w:rFonts w:ascii="Times New Roman" w:hAnsi="Times New Roman"/>
          <w:bCs/>
          <w:sz w:val="24"/>
          <w:szCs w:val="24"/>
          <w:lang w:val="uk-UA"/>
        </w:rPr>
        <w:lastRenderedPageBreak/>
        <w:t xml:space="preserve">Додаток </w:t>
      </w:r>
    </w:p>
    <w:p w14:paraId="62669A47" w14:textId="77777777" w:rsidR="00C4788E" w:rsidRPr="00E4463D" w:rsidRDefault="00C4788E" w:rsidP="00C4788E">
      <w:pPr>
        <w:pStyle w:val="a9"/>
        <w:jc w:val="right"/>
        <w:rPr>
          <w:rFonts w:ascii="Times New Roman" w:hAnsi="Times New Roman"/>
        </w:rPr>
      </w:pPr>
      <w:proofErr w:type="gramStart"/>
      <w:r w:rsidRPr="00E4463D">
        <w:rPr>
          <w:rFonts w:ascii="Times New Roman" w:hAnsi="Times New Roman"/>
        </w:rPr>
        <w:t xml:space="preserve">до  </w:t>
      </w:r>
      <w:proofErr w:type="spellStart"/>
      <w:r w:rsidRPr="00E4463D">
        <w:rPr>
          <w:rFonts w:ascii="Times New Roman" w:hAnsi="Times New Roman"/>
        </w:rPr>
        <w:t>рішення</w:t>
      </w:r>
      <w:proofErr w:type="spellEnd"/>
      <w:proofErr w:type="gramEnd"/>
      <w:r w:rsidRPr="00E4463D">
        <w:rPr>
          <w:rFonts w:ascii="Times New Roman" w:hAnsi="Times New Roman"/>
        </w:rPr>
        <w:t xml:space="preserve"> </w:t>
      </w:r>
      <w:r>
        <w:rPr>
          <w:rFonts w:ascii="Times New Roman" w:hAnsi="Times New Roman"/>
          <w:u w:val="single"/>
        </w:rPr>
        <w:t>51</w:t>
      </w:r>
      <w:r w:rsidRPr="00E4463D">
        <w:rPr>
          <w:rFonts w:ascii="Times New Roman" w:hAnsi="Times New Roman"/>
          <w:u w:val="single"/>
        </w:rPr>
        <w:t xml:space="preserve"> (п)</w:t>
      </w:r>
      <w:r w:rsidRPr="00E4463D">
        <w:rPr>
          <w:rFonts w:ascii="Times New Roman" w:hAnsi="Times New Roman"/>
        </w:rPr>
        <w:t xml:space="preserve"> </w:t>
      </w:r>
      <w:proofErr w:type="spellStart"/>
      <w:r w:rsidRPr="00E4463D">
        <w:rPr>
          <w:rFonts w:ascii="Times New Roman" w:hAnsi="Times New Roman"/>
        </w:rPr>
        <w:t>сесії</w:t>
      </w:r>
      <w:proofErr w:type="spellEnd"/>
      <w:r w:rsidRPr="00E4463D">
        <w:rPr>
          <w:rFonts w:ascii="Times New Roman" w:hAnsi="Times New Roman"/>
        </w:rPr>
        <w:t xml:space="preserve">  </w:t>
      </w:r>
      <w:proofErr w:type="spellStart"/>
      <w:r w:rsidRPr="00E4463D">
        <w:rPr>
          <w:rFonts w:ascii="Times New Roman" w:hAnsi="Times New Roman"/>
        </w:rPr>
        <w:t>міської</w:t>
      </w:r>
      <w:proofErr w:type="spellEnd"/>
      <w:r w:rsidRPr="00E4463D">
        <w:rPr>
          <w:rFonts w:ascii="Times New Roman" w:hAnsi="Times New Roman"/>
        </w:rPr>
        <w:t xml:space="preserve"> ради </w:t>
      </w:r>
      <w:r w:rsidRPr="00E4463D">
        <w:rPr>
          <w:rFonts w:ascii="Times New Roman" w:hAnsi="Times New Roman"/>
          <w:u w:val="single"/>
        </w:rPr>
        <w:t>8</w:t>
      </w:r>
      <w:r w:rsidRPr="00E4463D">
        <w:rPr>
          <w:rFonts w:ascii="Times New Roman" w:hAnsi="Times New Roman"/>
        </w:rPr>
        <w:t xml:space="preserve"> </w:t>
      </w:r>
      <w:proofErr w:type="spellStart"/>
      <w:r w:rsidRPr="00E4463D">
        <w:rPr>
          <w:rFonts w:ascii="Times New Roman" w:hAnsi="Times New Roman"/>
        </w:rPr>
        <w:t>скликання</w:t>
      </w:r>
      <w:proofErr w:type="spellEnd"/>
      <w:r w:rsidRPr="00E4463D">
        <w:rPr>
          <w:rFonts w:ascii="Times New Roman" w:hAnsi="Times New Roman"/>
        </w:rPr>
        <w:t xml:space="preserve">  </w:t>
      </w:r>
    </w:p>
    <w:p w14:paraId="153976AE" w14:textId="77777777" w:rsidR="00C4788E" w:rsidRPr="00E4463D" w:rsidRDefault="00C4788E" w:rsidP="00C4788E">
      <w:pPr>
        <w:pStyle w:val="a9"/>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1</w:t>
      </w:r>
      <w:r>
        <w:rPr>
          <w:rFonts w:ascii="Times New Roman" w:hAnsi="Times New Roman"/>
          <w:u w:val="single"/>
        </w:rPr>
        <w:t>6</w:t>
      </w:r>
      <w:r>
        <w:rPr>
          <w:rFonts w:ascii="Times New Roman" w:hAnsi="Times New Roman"/>
          <w:u w:val="single"/>
          <w:lang w:val="uk-UA"/>
        </w:rPr>
        <w:t>11</w:t>
      </w:r>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w:t>
      </w:r>
      <w:proofErr w:type="spellStart"/>
      <w:r w:rsidRPr="00E4463D">
        <w:rPr>
          <w:rFonts w:ascii="Times New Roman" w:hAnsi="Times New Roman"/>
        </w:rPr>
        <w:t>від</w:t>
      </w:r>
      <w:proofErr w:type="spellEnd"/>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17</w:t>
      </w:r>
      <w:r w:rsidRPr="00E4463D">
        <w:rPr>
          <w:rFonts w:ascii="Times New Roman" w:hAnsi="Times New Roman"/>
          <w:u w:val="single"/>
        </w:rPr>
        <w:t>.10.2024</w:t>
      </w:r>
      <w:r w:rsidRPr="00E4463D">
        <w:rPr>
          <w:rFonts w:ascii="Times New Roman" w:hAnsi="Times New Roman"/>
        </w:rPr>
        <w:t xml:space="preserve"> року</w:t>
      </w:r>
    </w:p>
    <w:p w14:paraId="588A9F5E" w14:textId="77777777" w:rsidR="00C4788E" w:rsidRDefault="00C4788E" w:rsidP="00C4788E">
      <w:pPr>
        <w:widowControl w:val="0"/>
        <w:autoSpaceDE w:val="0"/>
        <w:autoSpaceDN w:val="0"/>
        <w:adjustRightInd w:val="0"/>
        <w:spacing w:after="0" w:line="240" w:lineRule="auto"/>
        <w:ind w:left="1480"/>
        <w:jc w:val="right"/>
        <w:rPr>
          <w:rFonts w:ascii="Times New Roman" w:hAnsi="Times New Roman"/>
          <w:bCs/>
          <w:sz w:val="24"/>
          <w:szCs w:val="24"/>
        </w:rPr>
      </w:pPr>
    </w:p>
    <w:p w14:paraId="5910AECA" w14:textId="77777777" w:rsidR="00C4788E" w:rsidRDefault="00C4788E" w:rsidP="00C4788E">
      <w:pPr>
        <w:pStyle w:val="p1"/>
        <w:tabs>
          <w:tab w:val="left" w:pos="6255"/>
        </w:tabs>
        <w:spacing w:before="0" w:beforeAutospacing="0" w:after="0" w:afterAutospacing="0" w:line="0" w:lineRule="atLeast"/>
        <w:jc w:val="both"/>
        <w:rPr>
          <w:sz w:val="28"/>
          <w:szCs w:val="28"/>
          <w:lang w:val="uk-UA"/>
        </w:rPr>
      </w:pPr>
    </w:p>
    <w:p w14:paraId="700E6CD2" w14:textId="77777777" w:rsidR="00C4788E" w:rsidRDefault="00C4788E" w:rsidP="00C4788E">
      <w:pPr>
        <w:spacing w:after="0"/>
        <w:jc w:val="center"/>
        <w:rPr>
          <w:rFonts w:ascii="Times New Roman" w:hAnsi="Times New Roman"/>
          <w:b/>
          <w:sz w:val="28"/>
          <w:szCs w:val="28"/>
          <w:lang w:val="uk-UA" w:eastAsia="ar-SA"/>
        </w:rPr>
      </w:pPr>
      <w:proofErr w:type="spellStart"/>
      <w:r>
        <w:rPr>
          <w:rFonts w:ascii="Times New Roman" w:hAnsi="Times New Roman"/>
          <w:b/>
          <w:sz w:val="28"/>
          <w:szCs w:val="28"/>
          <w:lang w:eastAsia="ar-SA"/>
        </w:rPr>
        <w:t>Програма</w:t>
      </w:r>
      <w:proofErr w:type="spellEnd"/>
    </w:p>
    <w:p w14:paraId="7471B4A3" w14:textId="77777777" w:rsidR="00C4788E" w:rsidRDefault="00C4788E" w:rsidP="00C4788E">
      <w:pPr>
        <w:spacing w:after="0"/>
        <w:jc w:val="center"/>
        <w:rPr>
          <w:rFonts w:ascii="Times New Roman" w:hAnsi="Times New Roman"/>
          <w:b/>
          <w:sz w:val="28"/>
          <w:szCs w:val="28"/>
          <w:lang w:eastAsia="ar-SA"/>
        </w:rPr>
      </w:pPr>
      <w:proofErr w:type="spellStart"/>
      <w:r>
        <w:rPr>
          <w:rFonts w:ascii="Times New Roman" w:hAnsi="Times New Roman"/>
          <w:b/>
          <w:sz w:val="28"/>
          <w:szCs w:val="28"/>
          <w:lang w:eastAsia="ar-SA"/>
        </w:rPr>
        <w:t>компенсаційних</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виплат</w:t>
      </w:r>
      <w:proofErr w:type="spellEnd"/>
      <w:r>
        <w:rPr>
          <w:rFonts w:ascii="Times New Roman" w:hAnsi="Times New Roman"/>
          <w:b/>
          <w:sz w:val="28"/>
          <w:szCs w:val="28"/>
          <w:lang w:eastAsia="ar-SA"/>
        </w:rPr>
        <w:t xml:space="preserve"> за </w:t>
      </w:r>
      <w:proofErr w:type="spellStart"/>
      <w:r>
        <w:rPr>
          <w:rFonts w:ascii="Times New Roman" w:hAnsi="Times New Roman"/>
          <w:b/>
          <w:sz w:val="28"/>
          <w:szCs w:val="28"/>
          <w:lang w:eastAsia="ar-SA"/>
        </w:rPr>
        <w:t>надані</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пільги</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окремим</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категоріям</w:t>
      </w:r>
      <w:proofErr w:type="spellEnd"/>
      <w:r>
        <w:rPr>
          <w:rFonts w:ascii="Times New Roman" w:hAnsi="Times New Roman"/>
          <w:b/>
          <w:sz w:val="28"/>
          <w:szCs w:val="28"/>
          <w:lang w:eastAsia="ar-SA"/>
        </w:rPr>
        <w:t xml:space="preserve"> </w:t>
      </w:r>
      <w:proofErr w:type="spellStart"/>
      <w:proofErr w:type="gramStart"/>
      <w:r>
        <w:rPr>
          <w:rFonts w:ascii="Times New Roman" w:hAnsi="Times New Roman"/>
          <w:b/>
          <w:sz w:val="28"/>
          <w:szCs w:val="28"/>
          <w:lang w:eastAsia="ar-SA"/>
        </w:rPr>
        <w:t>громадян</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Козятинської</w:t>
      </w:r>
      <w:proofErr w:type="spellEnd"/>
      <w:proofErr w:type="gram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міської</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територіальної</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громади</w:t>
      </w:r>
      <w:proofErr w:type="spellEnd"/>
      <w:r>
        <w:rPr>
          <w:rFonts w:ascii="Times New Roman" w:hAnsi="Times New Roman"/>
          <w:b/>
          <w:sz w:val="28"/>
          <w:szCs w:val="28"/>
          <w:lang w:eastAsia="ar-SA"/>
        </w:rPr>
        <w:t xml:space="preserve"> на 2022-2024 роки</w:t>
      </w:r>
    </w:p>
    <w:p w14:paraId="492BD743" w14:textId="77777777" w:rsidR="00C4788E" w:rsidRDefault="00C4788E" w:rsidP="00C4788E">
      <w:pPr>
        <w:jc w:val="center"/>
        <w:rPr>
          <w:rFonts w:ascii="Times New Roman" w:hAnsi="Times New Roman"/>
          <w:b/>
          <w:sz w:val="28"/>
          <w:szCs w:val="28"/>
        </w:rPr>
      </w:pPr>
    </w:p>
    <w:p w14:paraId="31EDFD88" w14:textId="77777777" w:rsidR="00C4788E" w:rsidRDefault="00C4788E" w:rsidP="00C4788E">
      <w:pPr>
        <w:jc w:val="center"/>
        <w:rPr>
          <w:b/>
        </w:rPr>
      </w:pPr>
      <w:r>
        <w:rPr>
          <w:rFonts w:ascii="Times New Roman" w:hAnsi="Times New Roman"/>
          <w:b/>
          <w:sz w:val="28"/>
          <w:szCs w:val="28"/>
        </w:rPr>
        <w:t xml:space="preserve">І. Паспорт </w:t>
      </w:r>
      <w:proofErr w:type="spellStart"/>
      <w:r>
        <w:rPr>
          <w:rFonts w:ascii="Times New Roman" w:hAnsi="Times New Roman"/>
          <w:b/>
          <w:sz w:val="28"/>
          <w:szCs w:val="28"/>
        </w:rPr>
        <w:t>комплексної</w:t>
      </w:r>
      <w:proofErr w:type="spellEnd"/>
      <w:r>
        <w:rPr>
          <w:rFonts w:ascii="Times New Roman" w:hAnsi="Times New Roman"/>
          <w:b/>
          <w:sz w:val="28"/>
          <w:szCs w:val="28"/>
        </w:rPr>
        <w:t xml:space="preserve"> </w:t>
      </w:r>
      <w:proofErr w:type="spellStart"/>
      <w:r>
        <w:rPr>
          <w:rFonts w:ascii="Times New Roman" w:hAnsi="Times New Roman"/>
          <w:b/>
          <w:sz w:val="28"/>
          <w:szCs w:val="28"/>
        </w:rPr>
        <w:t>Програми</w:t>
      </w:r>
      <w:proofErr w:type="spellEnd"/>
      <w:r>
        <w:rPr>
          <w:rFonts w:ascii="Times New Roman" w:hAnsi="Times New Roman"/>
          <w:b/>
          <w:sz w:val="28"/>
          <w:szCs w:val="28"/>
        </w:rPr>
        <w:t xml:space="preserve"> </w:t>
      </w:r>
      <w:r>
        <w:rPr>
          <w:rFonts w:ascii="Times New Roman" w:hAnsi="Times New Roman"/>
          <w:b/>
          <w:sz w:val="28"/>
          <w:szCs w:val="28"/>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701"/>
        <w:gridCol w:w="6958"/>
      </w:tblGrid>
      <w:tr w:rsidR="00C4788E" w14:paraId="603AA322" w14:textId="77777777" w:rsidTr="009948A5">
        <w:trPr>
          <w:trHeight w:val="784"/>
        </w:trPr>
        <w:tc>
          <w:tcPr>
            <w:tcW w:w="0" w:type="auto"/>
            <w:tcBorders>
              <w:top w:val="single" w:sz="4" w:space="0" w:color="auto"/>
              <w:left w:val="single" w:sz="4" w:space="0" w:color="auto"/>
              <w:bottom w:val="single" w:sz="4" w:space="0" w:color="auto"/>
              <w:right w:val="single" w:sz="4" w:space="0" w:color="auto"/>
            </w:tcBorders>
            <w:hideMark/>
          </w:tcPr>
          <w:p w14:paraId="12241C3B"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E5BC466"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Ініціатор</w:t>
            </w:r>
            <w:proofErr w:type="spellEnd"/>
            <w:r>
              <w:rPr>
                <w:rFonts w:ascii="Times New Roman" w:hAnsi="Times New Roman"/>
                <w:sz w:val="24"/>
                <w:szCs w:val="24"/>
              </w:rPr>
              <w:t xml:space="preserve"> </w:t>
            </w:r>
            <w:proofErr w:type="spellStart"/>
            <w:r>
              <w:rPr>
                <w:rFonts w:ascii="Times New Roman" w:hAnsi="Times New Roman"/>
                <w:sz w:val="24"/>
                <w:szCs w:val="24"/>
              </w:rPr>
              <w:t>розроблення</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18A4309"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tc>
      </w:tr>
      <w:tr w:rsidR="00C4788E" w14:paraId="5855A101" w14:textId="77777777" w:rsidTr="009948A5">
        <w:trPr>
          <w:trHeight w:val="1039"/>
        </w:trPr>
        <w:tc>
          <w:tcPr>
            <w:tcW w:w="0" w:type="auto"/>
            <w:tcBorders>
              <w:top w:val="single" w:sz="4" w:space="0" w:color="auto"/>
              <w:left w:val="single" w:sz="4" w:space="0" w:color="auto"/>
              <w:bottom w:val="single" w:sz="4" w:space="0" w:color="auto"/>
              <w:right w:val="single" w:sz="4" w:space="0" w:color="auto"/>
            </w:tcBorders>
            <w:hideMark/>
          </w:tcPr>
          <w:p w14:paraId="44913AB9"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286B037"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Розробник</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422DBC3"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tc>
      </w:tr>
      <w:tr w:rsidR="00C4788E" w14:paraId="5362BD6E" w14:textId="77777777" w:rsidTr="009948A5">
        <w:trPr>
          <w:trHeight w:val="735"/>
        </w:trPr>
        <w:tc>
          <w:tcPr>
            <w:tcW w:w="0" w:type="auto"/>
            <w:tcBorders>
              <w:top w:val="single" w:sz="4" w:space="0" w:color="auto"/>
              <w:left w:val="single" w:sz="4" w:space="0" w:color="auto"/>
              <w:bottom w:val="single" w:sz="4" w:space="0" w:color="auto"/>
              <w:right w:val="single" w:sz="4" w:space="0" w:color="auto"/>
            </w:tcBorders>
            <w:hideMark/>
          </w:tcPr>
          <w:p w14:paraId="680E830B"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0FC63B7A"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Відповідальний</w:t>
            </w:r>
            <w:proofErr w:type="spellEnd"/>
            <w:r>
              <w:rPr>
                <w:rFonts w:ascii="Times New Roman" w:hAnsi="Times New Roman"/>
                <w:sz w:val="24"/>
                <w:szCs w:val="24"/>
              </w:rPr>
              <w:t xml:space="preserve"> </w:t>
            </w:r>
            <w:proofErr w:type="spellStart"/>
            <w:r>
              <w:rPr>
                <w:rFonts w:ascii="Times New Roman" w:hAnsi="Times New Roman"/>
                <w:sz w:val="24"/>
                <w:szCs w:val="24"/>
              </w:rPr>
              <w:t>виконавець</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2E4822C"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tc>
      </w:tr>
      <w:tr w:rsidR="00C4788E" w14:paraId="46B4CE9D" w14:textId="77777777" w:rsidTr="009948A5">
        <w:trPr>
          <w:trHeight w:val="3093"/>
        </w:trPr>
        <w:tc>
          <w:tcPr>
            <w:tcW w:w="0" w:type="auto"/>
            <w:tcBorders>
              <w:top w:val="single" w:sz="4" w:space="0" w:color="auto"/>
              <w:left w:val="single" w:sz="4" w:space="0" w:color="auto"/>
              <w:bottom w:val="single" w:sz="4" w:space="0" w:color="auto"/>
              <w:right w:val="single" w:sz="4" w:space="0" w:color="auto"/>
            </w:tcBorders>
            <w:hideMark/>
          </w:tcPr>
          <w:p w14:paraId="0E0A10F0"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333870D9"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Учасники</w:t>
            </w:r>
            <w:proofErr w:type="spellEnd"/>
            <w:r>
              <w:rPr>
                <w:rFonts w:ascii="Times New Roman" w:hAnsi="Times New Roman"/>
                <w:sz w:val="24"/>
                <w:szCs w:val="24"/>
              </w:rPr>
              <w:t xml:space="preserve"> </w:t>
            </w:r>
            <w:proofErr w:type="spellStart"/>
            <w:r>
              <w:rPr>
                <w:rFonts w:ascii="Times New Roman" w:hAnsi="Times New Roman"/>
                <w:sz w:val="24"/>
                <w:szCs w:val="24"/>
              </w:rPr>
              <w:t>комплексної</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74E0E60"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 </w:t>
            </w:r>
          </w:p>
          <w:p w14:paraId="288A2EAD" w14:textId="77777777" w:rsidR="00C4788E" w:rsidRDefault="00C4788E" w:rsidP="009948A5">
            <w:pPr>
              <w:rPr>
                <w:rFonts w:ascii="Times New Roman" w:hAnsi="Times New Roman"/>
                <w:sz w:val="24"/>
                <w:szCs w:val="24"/>
              </w:rPr>
            </w:pPr>
            <w:proofErr w:type="spellStart"/>
            <w:r>
              <w:rPr>
                <w:rFonts w:ascii="Times New Roman" w:hAnsi="Times New Roman"/>
                <w:sz w:val="24"/>
                <w:szCs w:val="24"/>
              </w:rPr>
              <w:t>Перевізники</w:t>
            </w:r>
            <w:proofErr w:type="spellEnd"/>
            <w:r>
              <w:rPr>
                <w:rFonts w:ascii="Times New Roman" w:hAnsi="Times New Roman"/>
                <w:sz w:val="24"/>
                <w:szCs w:val="24"/>
              </w:rPr>
              <w:t xml:space="preserve">, </w:t>
            </w:r>
            <w:proofErr w:type="spellStart"/>
            <w:r>
              <w:rPr>
                <w:rFonts w:ascii="Times New Roman" w:hAnsi="Times New Roman"/>
                <w:sz w:val="24"/>
                <w:szCs w:val="24"/>
              </w:rPr>
              <w:t>які</w:t>
            </w:r>
            <w:proofErr w:type="spellEnd"/>
            <w:r>
              <w:rPr>
                <w:rFonts w:ascii="Times New Roman" w:hAnsi="Times New Roman"/>
                <w:sz w:val="24"/>
                <w:szCs w:val="24"/>
              </w:rPr>
              <w:t xml:space="preserve"> </w:t>
            </w:r>
            <w:proofErr w:type="spellStart"/>
            <w:r>
              <w:rPr>
                <w:rFonts w:ascii="Times New Roman" w:hAnsi="Times New Roman"/>
                <w:sz w:val="24"/>
                <w:szCs w:val="24"/>
              </w:rPr>
              <w:t>надають</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з </w:t>
            </w:r>
            <w:proofErr w:type="spellStart"/>
            <w:r>
              <w:rPr>
                <w:rFonts w:ascii="Times New Roman" w:hAnsi="Times New Roman"/>
                <w:sz w:val="24"/>
                <w:szCs w:val="24"/>
              </w:rPr>
              <w:t>перевезення</w:t>
            </w:r>
            <w:proofErr w:type="spellEnd"/>
            <w:r>
              <w:rPr>
                <w:rFonts w:ascii="Times New Roman" w:hAnsi="Times New Roman"/>
                <w:sz w:val="24"/>
                <w:szCs w:val="24"/>
              </w:rPr>
              <w:t xml:space="preserve"> </w:t>
            </w:r>
            <w:proofErr w:type="spellStart"/>
            <w:r>
              <w:rPr>
                <w:rFonts w:ascii="Times New Roman" w:hAnsi="Times New Roman"/>
                <w:sz w:val="24"/>
                <w:szCs w:val="24"/>
              </w:rPr>
              <w:t>пільгових</w:t>
            </w:r>
            <w:proofErr w:type="spellEnd"/>
            <w:r>
              <w:rPr>
                <w:rFonts w:ascii="Times New Roman" w:hAnsi="Times New Roman"/>
                <w:sz w:val="24"/>
                <w:szCs w:val="24"/>
              </w:rPr>
              <w:t xml:space="preserve"> </w:t>
            </w:r>
            <w:proofErr w:type="spellStart"/>
            <w:r>
              <w:rPr>
                <w:rFonts w:ascii="Times New Roman" w:hAnsi="Times New Roman"/>
                <w:sz w:val="24"/>
                <w:szCs w:val="24"/>
              </w:rPr>
              <w:t>категорій</w:t>
            </w:r>
            <w:proofErr w:type="spellEnd"/>
            <w:r>
              <w:rPr>
                <w:rFonts w:ascii="Times New Roman" w:hAnsi="Times New Roman"/>
                <w:sz w:val="24"/>
                <w:szCs w:val="24"/>
              </w:rPr>
              <w:t xml:space="preserve"> </w:t>
            </w:r>
            <w:proofErr w:type="spellStart"/>
            <w:r>
              <w:rPr>
                <w:rFonts w:ascii="Times New Roman" w:hAnsi="Times New Roman"/>
                <w:sz w:val="24"/>
                <w:szCs w:val="24"/>
              </w:rPr>
              <w:t>громадян</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залізничним</w:t>
            </w:r>
            <w:proofErr w:type="spellEnd"/>
            <w:r>
              <w:rPr>
                <w:rFonts w:ascii="Times New Roman" w:hAnsi="Times New Roman"/>
                <w:sz w:val="24"/>
                <w:szCs w:val="24"/>
              </w:rPr>
              <w:t xml:space="preserve">  транспортом</w:t>
            </w:r>
            <w:proofErr w:type="gramEnd"/>
            <w:r>
              <w:rPr>
                <w:rFonts w:ascii="Times New Roman" w:hAnsi="Times New Roman"/>
                <w:sz w:val="24"/>
                <w:szCs w:val="24"/>
              </w:rPr>
              <w:t xml:space="preserve"> на </w:t>
            </w:r>
            <w:proofErr w:type="spellStart"/>
            <w:r>
              <w:rPr>
                <w:rFonts w:ascii="Times New Roman" w:hAnsi="Times New Roman"/>
                <w:sz w:val="24"/>
                <w:szCs w:val="24"/>
              </w:rPr>
              <w:t>приміських</w:t>
            </w:r>
            <w:proofErr w:type="spellEnd"/>
            <w:r>
              <w:rPr>
                <w:rFonts w:ascii="Times New Roman" w:hAnsi="Times New Roman"/>
                <w:sz w:val="24"/>
                <w:szCs w:val="24"/>
              </w:rPr>
              <w:t xml:space="preserve">  маршрутах </w:t>
            </w:r>
            <w:proofErr w:type="spellStart"/>
            <w:r>
              <w:rPr>
                <w:rFonts w:ascii="Times New Roman" w:hAnsi="Times New Roman"/>
                <w:sz w:val="24"/>
                <w:szCs w:val="24"/>
              </w:rPr>
              <w:t>загального</w:t>
            </w:r>
            <w:proofErr w:type="spellEnd"/>
            <w:r>
              <w:rPr>
                <w:rFonts w:ascii="Times New Roman" w:hAnsi="Times New Roman"/>
                <w:sz w:val="24"/>
                <w:szCs w:val="24"/>
              </w:rPr>
              <w:t xml:space="preserve"> </w:t>
            </w:r>
            <w:proofErr w:type="spellStart"/>
            <w:r>
              <w:rPr>
                <w:rFonts w:ascii="Times New Roman" w:hAnsi="Times New Roman"/>
                <w:sz w:val="24"/>
                <w:szCs w:val="24"/>
              </w:rPr>
              <w:t>користування</w:t>
            </w:r>
            <w:proofErr w:type="spellEnd"/>
            <w:r>
              <w:rPr>
                <w:rFonts w:ascii="Times New Roman" w:hAnsi="Times New Roman"/>
                <w:sz w:val="24"/>
                <w:szCs w:val="24"/>
              </w:rPr>
              <w:t xml:space="preserve">; </w:t>
            </w:r>
          </w:p>
          <w:p w14:paraId="582D665B" w14:textId="77777777" w:rsidR="00C4788E" w:rsidRDefault="00C4788E" w:rsidP="009948A5">
            <w:pPr>
              <w:rPr>
                <w:rFonts w:ascii="Times New Roman" w:hAnsi="Times New Roman"/>
                <w:sz w:val="24"/>
                <w:szCs w:val="24"/>
              </w:rPr>
            </w:pPr>
            <w:proofErr w:type="spellStart"/>
            <w:r>
              <w:rPr>
                <w:rFonts w:ascii="Times New Roman" w:hAnsi="Times New Roman"/>
                <w:sz w:val="24"/>
                <w:szCs w:val="24"/>
              </w:rPr>
              <w:t>Перевізники</w:t>
            </w:r>
            <w:proofErr w:type="spellEnd"/>
            <w:r>
              <w:rPr>
                <w:rFonts w:ascii="Times New Roman" w:hAnsi="Times New Roman"/>
                <w:sz w:val="24"/>
                <w:szCs w:val="24"/>
              </w:rPr>
              <w:t xml:space="preserve">, </w:t>
            </w:r>
            <w:proofErr w:type="spellStart"/>
            <w:r>
              <w:rPr>
                <w:rFonts w:ascii="Times New Roman" w:hAnsi="Times New Roman"/>
                <w:sz w:val="24"/>
                <w:szCs w:val="24"/>
              </w:rPr>
              <w:t>які</w:t>
            </w:r>
            <w:proofErr w:type="spellEnd"/>
            <w:r>
              <w:rPr>
                <w:rFonts w:ascii="Times New Roman" w:hAnsi="Times New Roman"/>
                <w:sz w:val="24"/>
                <w:szCs w:val="24"/>
              </w:rPr>
              <w:t xml:space="preserve"> </w:t>
            </w:r>
            <w:proofErr w:type="spellStart"/>
            <w:r>
              <w:rPr>
                <w:rFonts w:ascii="Times New Roman" w:hAnsi="Times New Roman"/>
                <w:sz w:val="24"/>
                <w:szCs w:val="24"/>
              </w:rPr>
              <w:t>надають</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з </w:t>
            </w:r>
            <w:proofErr w:type="spellStart"/>
            <w:r>
              <w:rPr>
                <w:rFonts w:ascii="Times New Roman" w:hAnsi="Times New Roman"/>
                <w:sz w:val="24"/>
                <w:szCs w:val="24"/>
              </w:rPr>
              <w:t>перевезення</w:t>
            </w:r>
            <w:proofErr w:type="spellEnd"/>
            <w:r>
              <w:rPr>
                <w:rFonts w:ascii="Times New Roman" w:hAnsi="Times New Roman"/>
                <w:sz w:val="24"/>
                <w:szCs w:val="24"/>
              </w:rPr>
              <w:t xml:space="preserve"> </w:t>
            </w:r>
            <w:proofErr w:type="spellStart"/>
            <w:r>
              <w:rPr>
                <w:rFonts w:ascii="Times New Roman" w:hAnsi="Times New Roman"/>
                <w:sz w:val="24"/>
                <w:szCs w:val="24"/>
              </w:rPr>
              <w:t>пільгових</w:t>
            </w:r>
            <w:proofErr w:type="spellEnd"/>
            <w:r>
              <w:rPr>
                <w:rFonts w:ascii="Times New Roman" w:hAnsi="Times New Roman"/>
                <w:sz w:val="24"/>
                <w:szCs w:val="24"/>
              </w:rPr>
              <w:t xml:space="preserve"> </w:t>
            </w:r>
            <w:proofErr w:type="spellStart"/>
            <w:r>
              <w:rPr>
                <w:rFonts w:ascii="Times New Roman" w:hAnsi="Times New Roman"/>
                <w:sz w:val="24"/>
                <w:szCs w:val="24"/>
              </w:rPr>
              <w:t>категорій</w:t>
            </w:r>
            <w:proofErr w:type="spellEnd"/>
            <w:r>
              <w:rPr>
                <w:rFonts w:ascii="Times New Roman" w:hAnsi="Times New Roman"/>
                <w:sz w:val="24"/>
                <w:szCs w:val="24"/>
              </w:rPr>
              <w:t xml:space="preserve"> </w:t>
            </w:r>
            <w:proofErr w:type="spellStart"/>
            <w:r>
              <w:rPr>
                <w:rFonts w:ascii="Times New Roman" w:hAnsi="Times New Roman"/>
                <w:sz w:val="24"/>
                <w:szCs w:val="24"/>
              </w:rPr>
              <w:t>громадян</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автомобільним</w:t>
            </w:r>
            <w:proofErr w:type="spellEnd"/>
            <w:r>
              <w:rPr>
                <w:rFonts w:ascii="Times New Roman" w:hAnsi="Times New Roman"/>
                <w:sz w:val="24"/>
                <w:szCs w:val="24"/>
              </w:rPr>
              <w:t xml:space="preserve">  транспортом</w:t>
            </w:r>
            <w:proofErr w:type="gramEnd"/>
            <w:r>
              <w:rPr>
                <w:rFonts w:ascii="Times New Roman" w:hAnsi="Times New Roman"/>
                <w:sz w:val="24"/>
                <w:szCs w:val="24"/>
              </w:rPr>
              <w:t xml:space="preserve"> на </w:t>
            </w:r>
            <w:proofErr w:type="spellStart"/>
            <w:r>
              <w:rPr>
                <w:rFonts w:ascii="Times New Roman" w:hAnsi="Times New Roman"/>
                <w:sz w:val="24"/>
                <w:szCs w:val="24"/>
              </w:rPr>
              <w:t>міських</w:t>
            </w:r>
            <w:proofErr w:type="spellEnd"/>
            <w:r>
              <w:rPr>
                <w:rFonts w:ascii="Times New Roman" w:hAnsi="Times New Roman"/>
                <w:sz w:val="24"/>
                <w:szCs w:val="24"/>
              </w:rPr>
              <w:t xml:space="preserve"> та </w:t>
            </w:r>
            <w:proofErr w:type="spellStart"/>
            <w:r>
              <w:rPr>
                <w:rFonts w:ascii="Times New Roman" w:hAnsi="Times New Roman"/>
                <w:sz w:val="24"/>
                <w:szCs w:val="24"/>
              </w:rPr>
              <w:t>приміських</w:t>
            </w:r>
            <w:proofErr w:type="spellEnd"/>
            <w:r>
              <w:rPr>
                <w:rFonts w:ascii="Times New Roman" w:hAnsi="Times New Roman"/>
                <w:sz w:val="24"/>
                <w:szCs w:val="24"/>
              </w:rPr>
              <w:t xml:space="preserve">  маршрутах </w:t>
            </w:r>
            <w:proofErr w:type="spellStart"/>
            <w:r>
              <w:rPr>
                <w:rFonts w:ascii="Times New Roman" w:hAnsi="Times New Roman"/>
                <w:sz w:val="24"/>
                <w:szCs w:val="24"/>
              </w:rPr>
              <w:t>загального</w:t>
            </w:r>
            <w:proofErr w:type="spellEnd"/>
            <w:r>
              <w:rPr>
                <w:rFonts w:ascii="Times New Roman" w:hAnsi="Times New Roman"/>
                <w:sz w:val="24"/>
                <w:szCs w:val="24"/>
              </w:rPr>
              <w:t xml:space="preserve"> </w:t>
            </w:r>
            <w:proofErr w:type="spellStart"/>
            <w:r>
              <w:rPr>
                <w:rFonts w:ascii="Times New Roman" w:hAnsi="Times New Roman"/>
                <w:sz w:val="24"/>
                <w:szCs w:val="24"/>
              </w:rPr>
              <w:t>користування</w:t>
            </w:r>
            <w:proofErr w:type="spellEnd"/>
            <w:r>
              <w:rPr>
                <w:rFonts w:ascii="Times New Roman" w:hAnsi="Times New Roman"/>
                <w:sz w:val="24"/>
                <w:szCs w:val="24"/>
              </w:rPr>
              <w:t xml:space="preserve">; </w:t>
            </w:r>
          </w:p>
          <w:p w14:paraId="60BCA426" w14:textId="77777777" w:rsidR="00C4788E" w:rsidRDefault="00C4788E" w:rsidP="009948A5">
            <w:pPr>
              <w:rPr>
                <w:rFonts w:ascii="Times New Roman" w:hAnsi="Times New Roman"/>
                <w:sz w:val="24"/>
                <w:szCs w:val="24"/>
              </w:rPr>
            </w:pPr>
            <w:proofErr w:type="spellStart"/>
            <w:r>
              <w:rPr>
                <w:rFonts w:ascii="Times New Roman" w:hAnsi="Times New Roman"/>
                <w:sz w:val="24"/>
                <w:szCs w:val="24"/>
              </w:rPr>
              <w:t>Підприємства</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t>надають</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w:t>
            </w:r>
            <w:proofErr w:type="spellStart"/>
            <w:r>
              <w:rPr>
                <w:rFonts w:ascii="Times New Roman" w:hAnsi="Times New Roman"/>
                <w:sz w:val="24"/>
                <w:szCs w:val="24"/>
              </w:rPr>
              <w:t>зв’язку</w:t>
            </w:r>
            <w:proofErr w:type="spellEnd"/>
            <w:r>
              <w:rPr>
                <w:rFonts w:ascii="Times New Roman" w:hAnsi="Times New Roman"/>
                <w:sz w:val="24"/>
                <w:szCs w:val="24"/>
              </w:rPr>
              <w:t>;</w:t>
            </w:r>
          </w:p>
          <w:p w14:paraId="3FF21FA5"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Суб’єкти</w:t>
            </w:r>
            <w:proofErr w:type="spellEnd"/>
            <w:r>
              <w:rPr>
                <w:rFonts w:ascii="Times New Roman" w:hAnsi="Times New Roman"/>
                <w:sz w:val="24"/>
                <w:szCs w:val="24"/>
              </w:rPr>
              <w:t xml:space="preserve"> </w:t>
            </w:r>
            <w:proofErr w:type="spellStart"/>
            <w:r>
              <w:rPr>
                <w:rFonts w:ascii="Times New Roman" w:hAnsi="Times New Roman"/>
                <w:sz w:val="24"/>
                <w:szCs w:val="24"/>
              </w:rPr>
              <w:t>підприємницької</w:t>
            </w:r>
            <w:proofErr w:type="spellEnd"/>
            <w:r>
              <w:rPr>
                <w:rFonts w:ascii="Times New Roman" w:hAnsi="Times New Roman"/>
                <w:sz w:val="24"/>
                <w:szCs w:val="24"/>
              </w:rPr>
              <w:t xml:space="preserve"> </w:t>
            </w:r>
            <w:proofErr w:type="spellStart"/>
            <w:r>
              <w:rPr>
                <w:rFonts w:ascii="Times New Roman" w:hAnsi="Times New Roman"/>
                <w:sz w:val="24"/>
                <w:szCs w:val="24"/>
              </w:rPr>
              <w:t>діяльності</w:t>
            </w:r>
            <w:proofErr w:type="spellEnd"/>
            <w:r>
              <w:rPr>
                <w:rFonts w:ascii="Times New Roman" w:hAnsi="Times New Roman"/>
                <w:sz w:val="24"/>
                <w:szCs w:val="24"/>
              </w:rPr>
              <w:t>.</w:t>
            </w:r>
          </w:p>
        </w:tc>
      </w:tr>
      <w:tr w:rsidR="00C4788E" w14:paraId="46E66CC2" w14:textId="77777777" w:rsidTr="009948A5">
        <w:trPr>
          <w:trHeight w:val="370"/>
        </w:trPr>
        <w:tc>
          <w:tcPr>
            <w:tcW w:w="0" w:type="auto"/>
            <w:tcBorders>
              <w:top w:val="single" w:sz="4" w:space="0" w:color="auto"/>
              <w:left w:val="single" w:sz="4" w:space="0" w:color="auto"/>
              <w:bottom w:val="single" w:sz="4" w:space="0" w:color="auto"/>
              <w:right w:val="single" w:sz="4" w:space="0" w:color="auto"/>
            </w:tcBorders>
            <w:hideMark/>
          </w:tcPr>
          <w:p w14:paraId="2167366D"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0F9FC1D3"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Термін</w:t>
            </w:r>
            <w:proofErr w:type="spellEnd"/>
            <w:r>
              <w:rPr>
                <w:rFonts w:ascii="Times New Roman" w:hAnsi="Times New Roman"/>
                <w:sz w:val="24"/>
                <w:szCs w:val="24"/>
              </w:rPr>
              <w:t xml:space="preserve"> </w:t>
            </w:r>
            <w:proofErr w:type="spellStart"/>
            <w:r>
              <w:rPr>
                <w:rFonts w:ascii="Times New Roman" w:hAnsi="Times New Roman"/>
                <w:sz w:val="24"/>
                <w:szCs w:val="24"/>
              </w:rPr>
              <w:t>реалізації</w:t>
            </w:r>
            <w:proofErr w:type="spellEnd"/>
            <w:r>
              <w:rPr>
                <w:rFonts w:ascii="Times New Roman" w:hAnsi="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EDB8767"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2022-2024 роки.</w:t>
            </w:r>
          </w:p>
        </w:tc>
      </w:tr>
      <w:tr w:rsidR="00C4788E" w14:paraId="059160A7" w14:textId="77777777" w:rsidTr="009948A5">
        <w:trPr>
          <w:trHeight w:val="586"/>
        </w:trPr>
        <w:tc>
          <w:tcPr>
            <w:tcW w:w="0" w:type="auto"/>
            <w:tcBorders>
              <w:top w:val="single" w:sz="4" w:space="0" w:color="auto"/>
              <w:left w:val="single" w:sz="4" w:space="0" w:color="auto"/>
              <w:bottom w:val="single" w:sz="4" w:space="0" w:color="auto"/>
              <w:right w:val="single" w:sz="4" w:space="0" w:color="auto"/>
            </w:tcBorders>
            <w:hideMark/>
          </w:tcPr>
          <w:p w14:paraId="10E72F83"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14:paraId="101670B0"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Джерела</w:t>
            </w:r>
            <w:proofErr w:type="spellEnd"/>
            <w:r>
              <w:rPr>
                <w:rFonts w:ascii="Times New Roman" w:hAnsi="Times New Roman"/>
                <w:sz w:val="24"/>
                <w:szCs w:val="24"/>
              </w:rPr>
              <w:t xml:space="preserve"> </w:t>
            </w:r>
            <w:proofErr w:type="spellStart"/>
            <w:r>
              <w:rPr>
                <w:rFonts w:ascii="Times New Roman" w:hAnsi="Times New Roman"/>
                <w:sz w:val="24"/>
                <w:szCs w:val="24"/>
              </w:rPr>
              <w:t>фінансування</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7EDB6FA"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 xml:space="preserve">Бюджет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територіальної</w:t>
            </w:r>
            <w:proofErr w:type="spellEnd"/>
            <w:r>
              <w:rPr>
                <w:rFonts w:ascii="Times New Roman" w:hAnsi="Times New Roman"/>
                <w:sz w:val="24"/>
                <w:szCs w:val="24"/>
              </w:rPr>
              <w:t xml:space="preserve"> </w:t>
            </w:r>
            <w:proofErr w:type="spellStart"/>
            <w:r>
              <w:rPr>
                <w:rFonts w:ascii="Times New Roman" w:hAnsi="Times New Roman"/>
                <w:sz w:val="24"/>
                <w:szCs w:val="24"/>
              </w:rPr>
              <w:t>громади</w:t>
            </w:r>
            <w:proofErr w:type="spellEnd"/>
            <w:r>
              <w:rPr>
                <w:rFonts w:ascii="Times New Roman" w:hAnsi="Times New Roman"/>
                <w:sz w:val="24"/>
                <w:szCs w:val="24"/>
              </w:rPr>
              <w:t>.</w:t>
            </w:r>
          </w:p>
        </w:tc>
      </w:tr>
      <w:tr w:rsidR="00C4788E" w14:paraId="59B853AB" w14:textId="77777777" w:rsidTr="009948A5">
        <w:trPr>
          <w:trHeight w:val="358"/>
        </w:trPr>
        <w:tc>
          <w:tcPr>
            <w:tcW w:w="0" w:type="auto"/>
            <w:tcBorders>
              <w:top w:val="single" w:sz="4" w:space="0" w:color="auto"/>
              <w:left w:val="single" w:sz="4" w:space="0" w:color="auto"/>
              <w:bottom w:val="single" w:sz="4" w:space="0" w:color="auto"/>
              <w:right w:val="single" w:sz="4" w:space="0" w:color="auto"/>
            </w:tcBorders>
            <w:hideMark/>
          </w:tcPr>
          <w:p w14:paraId="35359340"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14:paraId="635EDB02"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Загальний</w:t>
            </w:r>
            <w:proofErr w:type="spellEnd"/>
            <w:r>
              <w:rPr>
                <w:rFonts w:ascii="Times New Roman" w:hAnsi="Times New Roman"/>
                <w:sz w:val="24"/>
                <w:szCs w:val="24"/>
              </w:rPr>
              <w:t xml:space="preserve"> </w:t>
            </w:r>
            <w:proofErr w:type="spellStart"/>
            <w:r>
              <w:rPr>
                <w:rFonts w:ascii="Times New Roman" w:hAnsi="Times New Roman"/>
                <w:sz w:val="24"/>
                <w:szCs w:val="24"/>
              </w:rPr>
              <w:t>обсяг</w:t>
            </w:r>
            <w:proofErr w:type="spellEnd"/>
            <w:r>
              <w:rPr>
                <w:rFonts w:ascii="Times New Roman" w:hAnsi="Times New Roman"/>
                <w:sz w:val="24"/>
                <w:szCs w:val="24"/>
              </w:rPr>
              <w:t xml:space="preserve"> </w:t>
            </w:r>
            <w:proofErr w:type="spellStart"/>
            <w:r>
              <w:rPr>
                <w:rFonts w:ascii="Times New Roman" w:hAnsi="Times New Roman"/>
                <w:sz w:val="24"/>
                <w:szCs w:val="24"/>
              </w:rPr>
              <w:t>фінансових</w:t>
            </w:r>
            <w:proofErr w:type="spellEnd"/>
            <w:r>
              <w:rPr>
                <w:rFonts w:ascii="Times New Roman" w:hAnsi="Times New Roman"/>
                <w:sz w:val="24"/>
                <w:szCs w:val="24"/>
              </w:rPr>
              <w:t xml:space="preserve"> </w:t>
            </w:r>
            <w:proofErr w:type="spellStart"/>
            <w:r>
              <w:rPr>
                <w:rFonts w:ascii="Times New Roman" w:hAnsi="Times New Roman"/>
                <w:sz w:val="24"/>
                <w:szCs w:val="24"/>
              </w:rPr>
              <w:t>ресурсів</w:t>
            </w:r>
            <w:proofErr w:type="spellEnd"/>
            <w:r>
              <w:rPr>
                <w:rFonts w:ascii="Times New Roman" w:hAnsi="Times New Roman"/>
                <w:sz w:val="24"/>
                <w:szCs w:val="24"/>
              </w:rPr>
              <w:t xml:space="preserve"> (</w:t>
            </w:r>
            <w:proofErr w:type="spellStart"/>
            <w:r>
              <w:rPr>
                <w:rFonts w:ascii="Times New Roman" w:hAnsi="Times New Roman"/>
                <w:sz w:val="24"/>
                <w:szCs w:val="24"/>
              </w:rPr>
              <w:t>грн</w:t>
            </w:r>
            <w:proofErr w:type="spellEnd"/>
            <w:r>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904D6FC" w14:textId="02C1BC76" w:rsidR="00C4788E" w:rsidRDefault="00C4788E" w:rsidP="00881A7D">
            <w:pPr>
              <w:rPr>
                <w:rFonts w:ascii="Times New Roman" w:eastAsia="Times New Roman" w:hAnsi="Times New Roman"/>
                <w:sz w:val="24"/>
                <w:szCs w:val="24"/>
              </w:rPr>
            </w:pPr>
            <w:r>
              <w:rPr>
                <w:rFonts w:ascii="Times New Roman" w:hAnsi="Times New Roman"/>
                <w:b/>
                <w:sz w:val="24"/>
                <w:szCs w:val="24"/>
                <w:lang w:val="en-US"/>
              </w:rPr>
              <w:t>4</w:t>
            </w:r>
            <w:r w:rsidR="00881A7D">
              <w:rPr>
                <w:rFonts w:ascii="Times New Roman" w:hAnsi="Times New Roman"/>
                <w:b/>
                <w:sz w:val="24"/>
                <w:szCs w:val="24"/>
                <w:lang w:val="uk-UA"/>
              </w:rPr>
              <w:t>809135</w:t>
            </w:r>
            <w:r>
              <w:rPr>
                <w:rFonts w:ascii="Times New Roman" w:hAnsi="Times New Roman"/>
                <w:b/>
                <w:sz w:val="24"/>
                <w:szCs w:val="24"/>
              </w:rPr>
              <w:t>,</w:t>
            </w:r>
            <w:r>
              <w:rPr>
                <w:rFonts w:ascii="Times New Roman" w:hAnsi="Times New Roman"/>
                <w:b/>
                <w:sz w:val="24"/>
                <w:szCs w:val="24"/>
                <w:lang w:val="en-US"/>
              </w:rPr>
              <w:t>00</w:t>
            </w:r>
          </w:p>
        </w:tc>
      </w:tr>
    </w:tbl>
    <w:p w14:paraId="2294C9DE" w14:textId="77777777" w:rsidR="00C4788E" w:rsidRDefault="00C4788E" w:rsidP="00C4788E">
      <w:pPr>
        <w:pStyle w:val="p1"/>
        <w:spacing w:before="0" w:beforeAutospacing="0" w:after="0" w:afterAutospacing="0" w:line="0" w:lineRule="atLeast"/>
        <w:ind w:left="720"/>
        <w:rPr>
          <w:rStyle w:val="s2"/>
          <w:b/>
          <w:sz w:val="28"/>
          <w:szCs w:val="28"/>
        </w:rPr>
      </w:pPr>
      <w:r>
        <w:rPr>
          <w:rStyle w:val="s2"/>
          <w:b/>
          <w:sz w:val="28"/>
          <w:szCs w:val="28"/>
          <w:lang w:val="uk-UA"/>
        </w:rPr>
        <w:t xml:space="preserve">             </w:t>
      </w:r>
    </w:p>
    <w:p w14:paraId="411117A6" w14:textId="77777777" w:rsidR="00C4788E" w:rsidRDefault="00C4788E" w:rsidP="00C4788E">
      <w:pPr>
        <w:pStyle w:val="p1"/>
        <w:spacing w:before="0" w:beforeAutospacing="0" w:after="0" w:afterAutospacing="0" w:line="0" w:lineRule="atLeast"/>
        <w:ind w:left="720"/>
        <w:rPr>
          <w:rStyle w:val="s2"/>
          <w:b/>
          <w:sz w:val="28"/>
          <w:szCs w:val="28"/>
          <w:lang w:val="uk-UA"/>
        </w:rPr>
      </w:pPr>
      <w:r>
        <w:rPr>
          <w:rStyle w:val="s2"/>
          <w:b/>
          <w:sz w:val="28"/>
          <w:szCs w:val="28"/>
          <w:lang w:val="uk-UA"/>
        </w:rPr>
        <w:t xml:space="preserve">             ІІ. Загальні положення Програми</w:t>
      </w:r>
    </w:p>
    <w:p w14:paraId="47C51884" w14:textId="77777777" w:rsidR="00C4788E" w:rsidRDefault="00C4788E" w:rsidP="00C4788E">
      <w:pPr>
        <w:pStyle w:val="p1"/>
        <w:spacing w:before="0" w:beforeAutospacing="0" w:after="0" w:afterAutospacing="0" w:line="0" w:lineRule="atLeast"/>
        <w:ind w:left="720"/>
        <w:jc w:val="center"/>
      </w:pPr>
    </w:p>
    <w:p w14:paraId="6F4A584B" w14:textId="77777777" w:rsidR="00C4788E" w:rsidRDefault="00C4788E" w:rsidP="00C4788E">
      <w:pPr>
        <w:pStyle w:val="p1"/>
        <w:spacing w:before="0" w:beforeAutospacing="0" w:after="0" w:afterAutospacing="0" w:line="0" w:lineRule="atLeast"/>
        <w:ind w:firstLine="720"/>
        <w:jc w:val="both"/>
        <w:rPr>
          <w:sz w:val="28"/>
          <w:szCs w:val="28"/>
          <w:lang w:val="uk-UA"/>
        </w:rPr>
      </w:pPr>
      <w:r>
        <w:rPr>
          <w:sz w:val="28"/>
          <w:szCs w:val="28"/>
          <w:lang w:val="uk-UA" w:eastAsia="ar-SA"/>
        </w:rPr>
        <w:t>Програма компенсаційних виплат за надані пільги окремим категоріям громадян  Козятинської міської територіальної громади на 2022-2024 роки</w:t>
      </w:r>
      <w:r>
        <w:rPr>
          <w:sz w:val="28"/>
          <w:szCs w:val="28"/>
          <w:lang w:val="uk-UA"/>
        </w:rPr>
        <w:t xml:space="preserve"> (далі – Програма) спрямована на розв’язання проблем соціального захисту громадян, які мають право на пільги, шляхом здійснення відшкодування витрат організаціям, які їх надають: знижка абонентної плати за користування квартирним телефоном, санаторно-курортне оздоровлення, компенсації на поховання, грошової компенсації на бензин, ремонт і технічне обслуговування автомобілів та транспортне </w:t>
      </w:r>
      <w:r>
        <w:rPr>
          <w:sz w:val="28"/>
          <w:szCs w:val="28"/>
          <w:lang w:val="uk-UA"/>
        </w:rPr>
        <w:lastRenderedPageBreak/>
        <w:t>обслуговування, відшкодування проїзду та медичного обслуговування пільгової категорії громадян постраждалих внаслідок аварії на  ЧАЕС, пільгового проїзду залізничним та автомобільним транспортом міського та приміського сполучення загального користування.</w:t>
      </w:r>
    </w:p>
    <w:p w14:paraId="122A1502" w14:textId="77777777" w:rsidR="00C4788E" w:rsidRDefault="00C4788E" w:rsidP="00C4788E">
      <w:pPr>
        <w:pStyle w:val="p1"/>
        <w:spacing w:before="0" w:beforeAutospacing="0" w:after="0" w:afterAutospacing="0" w:line="0" w:lineRule="atLeast"/>
        <w:ind w:firstLine="720"/>
        <w:jc w:val="both"/>
        <w:rPr>
          <w:sz w:val="28"/>
          <w:szCs w:val="28"/>
          <w:lang w:val="uk-UA"/>
        </w:rPr>
      </w:pPr>
      <w:r>
        <w:rPr>
          <w:sz w:val="28"/>
          <w:szCs w:val="28"/>
          <w:lang w:val="uk-UA" w:eastAsia="ar-SA"/>
        </w:rPr>
        <w:t xml:space="preserve">Програма </w:t>
      </w:r>
      <w:r>
        <w:rPr>
          <w:sz w:val="28"/>
          <w:szCs w:val="28"/>
          <w:lang w:val="uk-UA"/>
        </w:rPr>
        <w:t xml:space="preserve">розроблена відповідно до </w:t>
      </w:r>
      <w:r>
        <w:rPr>
          <w:bCs/>
          <w:sz w:val="28"/>
          <w:szCs w:val="28"/>
          <w:lang w:val="uk-UA"/>
        </w:rPr>
        <w:t>Бюджетного Кодексу України, Законів України «Про Державний бюджет України», «Про місцеве самоврядування в Україні», «Про жертв репресій комуністичного тоталітарного режиму 1917-1991 років», «Про жертви нацистських переслідувань», «Про основні заходи соціального захисту ветеранів праці та інших громадян похилого віку», «Про статус ветеранів війни, гарантії їх соціального захисту»,</w:t>
      </w:r>
      <w:r>
        <w:rPr>
          <w:sz w:val="28"/>
          <w:szCs w:val="28"/>
          <w:lang w:val="uk-UA"/>
        </w:rPr>
        <w:t xml:space="preserve">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«Про основи соціальної захищеності інвалідів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w:t>
      </w:r>
      <w:r>
        <w:rPr>
          <w:bCs/>
          <w:sz w:val="28"/>
          <w:szCs w:val="28"/>
          <w:lang w:val="uk-UA"/>
        </w:rPr>
        <w:t xml:space="preserve">«Про статус і соціальний захист громадян, які </w:t>
      </w:r>
      <w:r>
        <w:rPr>
          <w:sz w:val="28"/>
          <w:szCs w:val="28"/>
          <w:lang w:val="uk-UA"/>
        </w:rPr>
        <w:t>постраждали внаслідок Чорнобильської катастрофи», «Про охорону дитинства»,</w:t>
      </w:r>
      <w:r>
        <w:rPr>
          <w:bCs/>
          <w:sz w:val="28"/>
          <w:szCs w:val="28"/>
          <w:lang w:val="uk-UA"/>
        </w:rPr>
        <w:t xml:space="preserve"> «Про автомобільний транспорт»</w:t>
      </w:r>
      <w:r>
        <w:rPr>
          <w:sz w:val="28"/>
          <w:szCs w:val="28"/>
          <w:lang w:val="uk-UA"/>
        </w:rPr>
        <w:t xml:space="preserve"> та </w:t>
      </w:r>
      <w:r>
        <w:rPr>
          <w:bCs/>
          <w:sz w:val="28"/>
          <w:szCs w:val="28"/>
          <w:lang w:val="uk-UA"/>
        </w:rPr>
        <w:t>п</w:t>
      </w:r>
      <w:r>
        <w:rPr>
          <w:sz w:val="28"/>
          <w:szCs w:val="28"/>
          <w:lang w:val="uk-UA"/>
        </w:rPr>
        <w:t>останови Кабінету Міністрів України від 29.01.2003 р № 117 «Про Єдиний державний автоматизований реєстр осіб, які мають право на пільги», від 28.10.2004р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від 14.02.2007р №228 «Про порядок виплати та розмір грошових компенсацій на бензин, ремонт і технічне обслуговування автомобілів та транспортне обслуговування» від 17.05.1993 № 354 «Про безплатний проїзд пенсіонерів на транспорті загального користування» та від 16.08.1994 № 555 «Про поширення чинності постанови Кабінету Міністрів України від 17 травня 1993 року № 354».</w:t>
      </w:r>
    </w:p>
    <w:p w14:paraId="7374A698" w14:textId="77777777" w:rsidR="00C4788E" w:rsidRDefault="00C4788E" w:rsidP="00C4788E">
      <w:pPr>
        <w:pStyle w:val="p1"/>
        <w:tabs>
          <w:tab w:val="left" w:pos="4445"/>
        </w:tabs>
        <w:spacing w:before="0" w:beforeAutospacing="0" w:after="0" w:afterAutospacing="0" w:line="0" w:lineRule="atLeast"/>
        <w:ind w:firstLine="720"/>
        <w:jc w:val="both"/>
        <w:rPr>
          <w:sz w:val="28"/>
          <w:szCs w:val="28"/>
          <w:lang w:val="uk-UA"/>
        </w:rPr>
      </w:pPr>
      <w:r>
        <w:rPr>
          <w:sz w:val="28"/>
          <w:szCs w:val="28"/>
          <w:lang w:val="uk-UA"/>
        </w:rPr>
        <w:tab/>
      </w:r>
    </w:p>
    <w:p w14:paraId="5D281040" w14:textId="77777777" w:rsidR="00C4788E" w:rsidRDefault="00C4788E" w:rsidP="00C4788E">
      <w:pPr>
        <w:spacing w:line="0" w:lineRule="atLeast"/>
        <w:jc w:val="center"/>
        <w:rPr>
          <w:rFonts w:ascii="Times New Roman" w:hAnsi="Times New Roman"/>
          <w:b/>
          <w:sz w:val="28"/>
          <w:szCs w:val="28"/>
          <w:lang w:val="uk-UA"/>
        </w:rPr>
      </w:pPr>
      <w:r>
        <w:rPr>
          <w:rFonts w:ascii="Times New Roman" w:hAnsi="Times New Roman"/>
          <w:b/>
          <w:sz w:val="28"/>
          <w:szCs w:val="28"/>
        </w:rPr>
        <w:t xml:space="preserve">ІІІ. </w:t>
      </w:r>
      <w:proofErr w:type="spellStart"/>
      <w:r>
        <w:rPr>
          <w:rFonts w:ascii="Times New Roman" w:hAnsi="Times New Roman"/>
          <w:b/>
          <w:sz w:val="28"/>
          <w:szCs w:val="28"/>
        </w:rPr>
        <w:t>Визначення</w:t>
      </w:r>
      <w:proofErr w:type="spellEnd"/>
      <w:r>
        <w:rPr>
          <w:rFonts w:ascii="Times New Roman" w:hAnsi="Times New Roman"/>
          <w:b/>
          <w:sz w:val="28"/>
          <w:szCs w:val="28"/>
        </w:rPr>
        <w:t xml:space="preserve"> проблем  на </w:t>
      </w:r>
      <w:proofErr w:type="spellStart"/>
      <w:r>
        <w:rPr>
          <w:rFonts w:ascii="Times New Roman" w:hAnsi="Times New Roman"/>
          <w:b/>
          <w:sz w:val="28"/>
          <w:szCs w:val="28"/>
        </w:rPr>
        <w:t>розв’язання</w:t>
      </w:r>
      <w:proofErr w:type="spellEnd"/>
      <w:r>
        <w:rPr>
          <w:rFonts w:ascii="Times New Roman" w:hAnsi="Times New Roman"/>
          <w:b/>
          <w:sz w:val="28"/>
          <w:szCs w:val="28"/>
        </w:rPr>
        <w:t xml:space="preserve"> </w:t>
      </w:r>
      <w:proofErr w:type="spellStart"/>
      <w:r>
        <w:rPr>
          <w:rFonts w:ascii="Times New Roman" w:hAnsi="Times New Roman"/>
          <w:b/>
          <w:sz w:val="28"/>
          <w:szCs w:val="28"/>
        </w:rPr>
        <w:t>яких</w:t>
      </w:r>
      <w:proofErr w:type="spellEnd"/>
      <w:r>
        <w:rPr>
          <w:rFonts w:ascii="Times New Roman" w:hAnsi="Times New Roman"/>
          <w:b/>
          <w:sz w:val="28"/>
          <w:szCs w:val="28"/>
        </w:rPr>
        <w:t xml:space="preserve"> </w:t>
      </w:r>
      <w:proofErr w:type="spellStart"/>
      <w:r>
        <w:rPr>
          <w:rFonts w:ascii="Times New Roman" w:hAnsi="Times New Roman"/>
          <w:b/>
          <w:sz w:val="28"/>
          <w:szCs w:val="28"/>
        </w:rPr>
        <w:t>спрямована</w:t>
      </w:r>
      <w:proofErr w:type="spellEnd"/>
      <w:r>
        <w:rPr>
          <w:rFonts w:ascii="Times New Roman" w:hAnsi="Times New Roman"/>
          <w:b/>
          <w:sz w:val="28"/>
          <w:szCs w:val="28"/>
        </w:rPr>
        <w:t xml:space="preserve"> </w:t>
      </w:r>
      <w:r>
        <w:rPr>
          <w:rFonts w:ascii="Times New Roman" w:hAnsi="Times New Roman"/>
          <w:b/>
          <w:sz w:val="28"/>
          <w:szCs w:val="28"/>
        </w:rPr>
        <w:br/>
      </w:r>
      <w:proofErr w:type="spellStart"/>
      <w:r>
        <w:rPr>
          <w:rFonts w:ascii="Times New Roman" w:hAnsi="Times New Roman"/>
          <w:b/>
          <w:sz w:val="28"/>
          <w:szCs w:val="28"/>
        </w:rPr>
        <w:t>Програма</w:t>
      </w:r>
      <w:proofErr w:type="spellEnd"/>
      <w:r>
        <w:rPr>
          <w:rFonts w:ascii="Times New Roman" w:hAnsi="Times New Roman"/>
          <w:b/>
          <w:sz w:val="28"/>
          <w:szCs w:val="28"/>
        </w:rPr>
        <w:t xml:space="preserve">  </w:t>
      </w:r>
    </w:p>
    <w:p w14:paraId="65044AFA" w14:textId="77777777" w:rsidR="00C4788E" w:rsidRDefault="00C4788E" w:rsidP="00C4788E">
      <w:pPr>
        <w:pStyle w:val="p1"/>
        <w:spacing w:before="0" w:beforeAutospacing="0" w:after="0" w:afterAutospacing="0" w:line="0" w:lineRule="atLeast"/>
        <w:ind w:firstLine="708"/>
        <w:jc w:val="both"/>
        <w:rPr>
          <w:sz w:val="28"/>
          <w:szCs w:val="28"/>
          <w:lang w:val="uk-UA"/>
        </w:rPr>
      </w:pPr>
      <w:r>
        <w:rPr>
          <w:sz w:val="28"/>
          <w:szCs w:val="28"/>
          <w:lang w:val="uk-UA"/>
        </w:rPr>
        <w:t>На території Козятинської міської територіальної громади проживає 7175 осіб, які мають право на пільги згідно з чинним законодавством, в тому числі:</w:t>
      </w:r>
    </w:p>
    <w:tbl>
      <w:tblPr>
        <w:tblW w:w="0" w:type="auto"/>
        <w:tblCellSpacing w:w="15" w:type="dxa"/>
        <w:tblLook w:val="04A0" w:firstRow="1" w:lastRow="0" w:firstColumn="1" w:lastColumn="0" w:noHBand="0" w:noVBand="1"/>
      </w:tblPr>
      <w:tblGrid>
        <w:gridCol w:w="635"/>
        <w:gridCol w:w="154"/>
        <w:gridCol w:w="9276"/>
      </w:tblGrid>
      <w:tr w:rsidR="00C4788E" w:rsidRPr="00AF3F64" w14:paraId="104FA00E" w14:textId="77777777" w:rsidTr="009948A5">
        <w:trPr>
          <w:tblCellSpacing w:w="15" w:type="dxa"/>
        </w:trPr>
        <w:tc>
          <w:tcPr>
            <w:tcW w:w="0" w:type="auto"/>
            <w:tcMar>
              <w:top w:w="15" w:type="dxa"/>
              <w:left w:w="15" w:type="dxa"/>
              <w:bottom w:w="15" w:type="dxa"/>
              <w:right w:w="15" w:type="dxa"/>
            </w:tcMar>
            <w:vAlign w:val="center"/>
            <w:hideMark/>
          </w:tcPr>
          <w:p w14:paraId="70BD4FF4"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64</w:t>
            </w:r>
          </w:p>
        </w:tc>
        <w:tc>
          <w:tcPr>
            <w:tcW w:w="0" w:type="auto"/>
            <w:tcMar>
              <w:top w:w="15" w:type="dxa"/>
              <w:left w:w="15" w:type="dxa"/>
              <w:bottom w:w="15" w:type="dxa"/>
              <w:right w:w="15" w:type="dxa"/>
            </w:tcMar>
            <w:vAlign w:val="center"/>
            <w:hideMark/>
          </w:tcPr>
          <w:p w14:paraId="29B13C80"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0F6AD3E5"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особи з інвалідністю внаслідок війни;</w:t>
            </w:r>
          </w:p>
        </w:tc>
      </w:tr>
      <w:tr w:rsidR="00C4788E" w14:paraId="4EEEDC1C" w14:textId="77777777" w:rsidTr="009948A5">
        <w:trPr>
          <w:tblCellSpacing w:w="15" w:type="dxa"/>
        </w:trPr>
        <w:tc>
          <w:tcPr>
            <w:tcW w:w="0" w:type="auto"/>
            <w:tcMar>
              <w:top w:w="15" w:type="dxa"/>
              <w:left w:w="15" w:type="dxa"/>
              <w:bottom w:w="15" w:type="dxa"/>
              <w:right w:w="15" w:type="dxa"/>
            </w:tcMar>
            <w:vAlign w:val="center"/>
            <w:hideMark/>
          </w:tcPr>
          <w:p w14:paraId="59BC04D6"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492</w:t>
            </w:r>
          </w:p>
        </w:tc>
        <w:tc>
          <w:tcPr>
            <w:tcW w:w="0" w:type="auto"/>
            <w:tcMar>
              <w:top w:w="15" w:type="dxa"/>
              <w:left w:w="15" w:type="dxa"/>
              <w:bottom w:w="15" w:type="dxa"/>
              <w:right w:w="15" w:type="dxa"/>
            </w:tcMar>
            <w:vAlign w:val="center"/>
            <w:hideMark/>
          </w:tcPr>
          <w:p w14:paraId="1D127816"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68959E82"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учасників бойових дій;</w:t>
            </w:r>
          </w:p>
        </w:tc>
      </w:tr>
      <w:tr w:rsidR="00C4788E" w14:paraId="0C31E062" w14:textId="77777777" w:rsidTr="009948A5">
        <w:trPr>
          <w:tblCellSpacing w:w="15" w:type="dxa"/>
        </w:trPr>
        <w:tc>
          <w:tcPr>
            <w:tcW w:w="0" w:type="auto"/>
            <w:tcMar>
              <w:top w:w="15" w:type="dxa"/>
              <w:left w:w="15" w:type="dxa"/>
              <w:bottom w:w="15" w:type="dxa"/>
              <w:right w:w="15" w:type="dxa"/>
            </w:tcMar>
            <w:vAlign w:val="center"/>
            <w:hideMark/>
          </w:tcPr>
          <w:p w14:paraId="3C7EF3D1"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169</w:t>
            </w:r>
          </w:p>
        </w:tc>
        <w:tc>
          <w:tcPr>
            <w:tcW w:w="0" w:type="auto"/>
            <w:tcMar>
              <w:top w:w="15" w:type="dxa"/>
              <w:left w:w="15" w:type="dxa"/>
              <w:bottom w:w="15" w:type="dxa"/>
              <w:right w:w="15" w:type="dxa"/>
            </w:tcMar>
            <w:vAlign w:val="center"/>
            <w:hideMark/>
          </w:tcPr>
          <w:p w14:paraId="6D5C6400"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0C75545B"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членів сім’ї загиблого (померлого) ветерана війни;</w:t>
            </w:r>
          </w:p>
        </w:tc>
      </w:tr>
      <w:tr w:rsidR="00C4788E" w14:paraId="16995633" w14:textId="77777777" w:rsidTr="009948A5">
        <w:trPr>
          <w:tblCellSpacing w:w="15" w:type="dxa"/>
        </w:trPr>
        <w:tc>
          <w:tcPr>
            <w:tcW w:w="0" w:type="auto"/>
            <w:tcMar>
              <w:top w:w="15" w:type="dxa"/>
              <w:left w:w="15" w:type="dxa"/>
              <w:bottom w:w="15" w:type="dxa"/>
              <w:right w:w="15" w:type="dxa"/>
            </w:tcMar>
            <w:vAlign w:val="center"/>
            <w:hideMark/>
          </w:tcPr>
          <w:p w14:paraId="7079C15A"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166</w:t>
            </w:r>
          </w:p>
        </w:tc>
        <w:tc>
          <w:tcPr>
            <w:tcW w:w="0" w:type="auto"/>
            <w:tcMar>
              <w:top w:w="15" w:type="dxa"/>
              <w:left w:w="15" w:type="dxa"/>
              <w:bottom w:w="15" w:type="dxa"/>
              <w:right w:w="15" w:type="dxa"/>
            </w:tcMar>
            <w:vAlign w:val="center"/>
            <w:hideMark/>
          </w:tcPr>
          <w:p w14:paraId="09FB8AEA"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120CF82B"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учасників війни;</w:t>
            </w:r>
          </w:p>
        </w:tc>
      </w:tr>
      <w:tr w:rsidR="00C4788E" w14:paraId="6F1E13B8" w14:textId="77777777" w:rsidTr="009948A5">
        <w:trPr>
          <w:tblCellSpacing w:w="15" w:type="dxa"/>
        </w:trPr>
        <w:tc>
          <w:tcPr>
            <w:tcW w:w="0" w:type="auto"/>
            <w:tcMar>
              <w:top w:w="15" w:type="dxa"/>
              <w:left w:w="15" w:type="dxa"/>
              <w:bottom w:w="15" w:type="dxa"/>
              <w:right w:w="15" w:type="dxa"/>
            </w:tcMar>
            <w:vAlign w:val="center"/>
            <w:hideMark/>
          </w:tcPr>
          <w:p w14:paraId="138CAE6F"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120</w:t>
            </w:r>
          </w:p>
        </w:tc>
        <w:tc>
          <w:tcPr>
            <w:tcW w:w="0" w:type="auto"/>
            <w:tcMar>
              <w:top w:w="15" w:type="dxa"/>
              <w:left w:w="15" w:type="dxa"/>
              <w:bottom w:w="15" w:type="dxa"/>
              <w:right w:w="15" w:type="dxa"/>
            </w:tcMar>
            <w:vAlign w:val="center"/>
            <w:hideMark/>
          </w:tcPr>
          <w:p w14:paraId="170C8BE1"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575EE904"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особи, віднесені до категорії постраждалих внаслідок аварії на ЧАЕС 1 та 2 категорій;</w:t>
            </w:r>
          </w:p>
        </w:tc>
      </w:tr>
      <w:tr w:rsidR="00C4788E" w14:paraId="0482492F" w14:textId="77777777" w:rsidTr="009948A5">
        <w:trPr>
          <w:tblCellSpacing w:w="15" w:type="dxa"/>
        </w:trPr>
        <w:tc>
          <w:tcPr>
            <w:tcW w:w="0" w:type="auto"/>
            <w:tcMar>
              <w:top w:w="15" w:type="dxa"/>
              <w:left w:w="15" w:type="dxa"/>
              <w:bottom w:w="15" w:type="dxa"/>
              <w:right w:w="15" w:type="dxa"/>
            </w:tcMar>
            <w:vAlign w:val="center"/>
            <w:hideMark/>
          </w:tcPr>
          <w:p w14:paraId="6FE76ECE"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678</w:t>
            </w:r>
          </w:p>
        </w:tc>
        <w:tc>
          <w:tcPr>
            <w:tcW w:w="0" w:type="auto"/>
            <w:tcMar>
              <w:top w:w="15" w:type="dxa"/>
              <w:left w:w="15" w:type="dxa"/>
              <w:bottom w:w="15" w:type="dxa"/>
              <w:right w:w="15" w:type="dxa"/>
            </w:tcMar>
            <w:vAlign w:val="center"/>
            <w:hideMark/>
          </w:tcPr>
          <w:p w14:paraId="1C92C382"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456310A4"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дітей з багатодітних та прийомних сімей;</w:t>
            </w:r>
          </w:p>
        </w:tc>
      </w:tr>
      <w:tr w:rsidR="00C4788E" w14:paraId="30E294FD" w14:textId="77777777" w:rsidTr="009948A5">
        <w:trPr>
          <w:tblCellSpacing w:w="15" w:type="dxa"/>
        </w:trPr>
        <w:tc>
          <w:tcPr>
            <w:tcW w:w="0" w:type="auto"/>
            <w:tcMar>
              <w:top w:w="15" w:type="dxa"/>
              <w:left w:w="15" w:type="dxa"/>
              <w:bottom w:w="15" w:type="dxa"/>
              <w:right w:w="15" w:type="dxa"/>
            </w:tcMar>
            <w:vAlign w:val="center"/>
            <w:hideMark/>
          </w:tcPr>
          <w:p w14:paraId="153E4F3E"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118</w:t>
            </w:r>
          </w:p>
        </w:tc>
        <w:tc>
          <w:tcPr>
            <w:tcW w:w="0" w:type="auto"/>
            <w:tcMar>
              <w:top w:w="15" w:type="dxa"/>
              <w:left w:w="15" w:type="dxa"/>
              <w:bottom w:w="15" w:type="dxa"/>
              <w:right w:w="15" w:type="dxa"/>
            </w:tcMar>
            <w:vAlign w:val="center"/>
            <w:hideMark/>
          </w:tcPr>
          <w:p w14:paraId="1272B5B9"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55B23686"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ветеранів силових структур та їх вдови, інших військовослужбовців</w:t>
            </w:r>
          </w:p>
        </w:tc>
      </w:tr>
      <w:tr w:rsidR="00C4788E" w14:paraId="67F75AB7" w14:textId="77777777" w:rsidTr="009948A5">
        <w:trPr>
          <w:tblCellSpacing w:w="15" w:type="dxa"/>
        </w:trPr>
        <w:tc>
          <w:tcPr>
            <w:tcW w:w="0" w:type="auto"/>
            <w:tcMar>
              <w:top w:w="15" w:type="dxa"/>
              <w:left w:w="15" w:type="dxa"/>
              <w:bottom w:w="15" w:type="dxa"/>
              <w:right w:w="15" w:type="dxa"/>
            </w:tcMar>
            <w:vAlign w:val="center"/>
            <w:hideMark/>
          </w:tcPr>
          <w:p w14:paraId="7F7A6D5F"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140</w:t>
            </w:r>
          </w:p>
        </w:tc>
        <w:tc>
          <w:tcPr>
            <w:tcW w:w="0" w:type="auto"/>
            <w:tcMar>
              <w:top w:w="15" w:type="dxa"/>
              <w:left w:w="15" w:type="dxa"/>
              <w:bottom w:w="15" w:type="dxa"/>
              <w:right w:w="15" w:type="dxa"/>
            </w:tcMar>
            <w:vAlign w:val="center"/>
            <w:hideMark/>
          </w:tcPr>
          <w:p w14:paraId="16C2CFF3"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4AB04943"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дітей з інвалідністю;</w:t>
            </w:r>
          </w:p>
        </w:tc>
      </w:tr>
      <w:tr w:rsidR="00C4788E" w14:paraId="1A20510A" w14:textId="77777777" w:rsidTr="009948A5">
        <w:trPr>
          <w:tblCellSpacing w:w="15" w:type="dxa"/>
        </w:trPr>
        <w:tc>
          <w:tcPr>
            <w:tcW w:w="0" w:type="auto"/>
            <w:tcMar>
              <w:top w:w="15" w:type="dxa"/>
              <w:left w:w="15" w:type="dxa"/>
              <w:bottom w:w="15" w:type="dxa"/>
              <w:right w:w="15" w:type="dxa"/>
            </w:tcMar>
            <w:vAlign w:val="center"/>
            <w:hideMark/>
          </w:tcPr>
          <w:p w14:paraId="17601458"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 xml:space="preserve">372 </w:t>
            </w:r>
          </w:p>
        </w:tc>
        <w:tc>
          <w:tcPr>
            <w:tcW w:w="0" w:type="auto"/>
            <w:tcMar>
              <w:top w:w="15" w:type="dxa"/>
              <w:left w:w="15" w:type="dxa"/>
              <w:bottom w:w="15" w:type="dxa"/>
              <w:right w:w="15" w:type="dxa"/>
            </w:tcMar>
            <w:vAlign w:val="center"/>
            <w:hideMark/>
          </w:tcPr>
          <w:p w14:paraId="5BF94317"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048FC25E"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особи з інвалідністю  I та II груп;</w:t>
            </w:r>
          </w:p>
        </w:tc>
      </w:tr>
      <w:tr w:rsidR="00C4788E" w14:paraId="56577B5F" w14:textId="77777777" w:rsidTr="009948A5">
        <w:trPr>
          <w:tblCellSpacing w:w="15" w:type="dxa"/>
        </w:trPr>
        <w:tc>
          <w:tcPr>
            <w:tcW w:w="0" w:type="auto"/>
            <w:tcMar>
              <w:top w:w="15" w:type="dxa"/>
              <w:left w:w="15" w:type="dxa"/>
              <w:bottom w:w="15" w:type="dxa"/>
              <w:right w:w="15" w:type="dxa"/>
            </w:tcMar>
            <w:vAlign w:val="center"/>
            <w:hideMark/>
          </w:tcPr>
          <w:p w14:paraId="64D1ABA5"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 xml:space="preserve">4856 </w:t>
            </w:r>
          </w:p>
        </w:tc>
        <w:tc>
          <w:tcPr>
            <w:tcW w:w="0" w:type="auto"/>
            <w:tcMar>
              <w:top w:w="15" w:type="dxa"/>
              <w:left w:w="15" w:type="dxa"/>
              <w:bottom w:w="15" w:type="dxa"/>
              <w:right w:w="15" w:type="dxa"/>
            </w:tcMar>
            <w:vAlign w:val="center"/>
            <w:hideMark/>
          </w:tcPr>
          <w:p w14:paraId="5AB2CFED"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18DFA206"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пенсіонерів за віком.</w:t>
            </w:r>
          </w:p>
        </w:tc>
      </w:tr>
    </w:tbl>
    <w:p w14:paraId="7524D861" w14:textId="77777777" w:rsidR="00C4788E" w:rsidRDefault="00C4788E" w:rsidP="00C4788E">
      <w:pPr>
        <w:pStyle w:val="p1"/>
        <w:spacing w:before="0" w:beforeAutospacing="0" w:after="0" w:afterAutospacing="0" w:line="0" w:lineRule="atLeast"/>
        <w:jc w:val="both"/>
        <w:rPr>
          <w:sz w:val="28"/>
          <w:szCs w:val="28"/>
          <w:lang w:val="uk-UA"/>
        </w:rPr>
      </w:pPr>
      <w:r>
        <w:rPr>
          <w:sz w:val="28"/>
          <w:szCs w:val="28"/>
          <w:lang w:val="uk-UA"/>
        </w:rPr>
        <w:tab/>
        <w:t xml:space="preserve">До 2016 року у Державному бюджеті України передбачались видатки на компенсацію за пільговий проїзд окремих категорій громадян на міських та </w:t>
      </w:r>
      <w:r>
        <w:rPr>
          <w:sz w:val="28"/>
          <w:szCs w:val="28"/>
          <w:lang w:val="uk-UA"/>
        </w:rPr>
        <w:lastRenderedPageBreak/>
        <w:t>приміських маршрутах загального користування автомобільним та залізничним транспортом, відшкодування витрат за надані послуги зв’язку, санаторно-курортне здоровлення, компенсація проїзду пільгової категорії громадян, які постраждали внаслідок аварії на ЧАЕС.</w:t>
      </w:r>
    </w:p>
    <w:p w14:paraId="218DFE85" w14:textId="77777777" w:rsidR="00C4788E" w:rsidRDefault="00C4788E" w:rsidP="00C4788E">
      <w:pPr>
        <w:pStyle w:val="p9"/>
        <w:spacing w:before="0" w:beforeAutospacing="0" w:after="0" w:afterAutospacing="0" w:line="0" w:lineRule="atLeast"/>
        <w:ind w:firstLine="708"/>
        <w:jc w:val="both"/>
        <w:rPr>
          <w:sz w:val="28"/>
          <w:szCs w:val="28"/>
          <w:lang w:val="uk-UA"/>
        </w:rPr>
      </w:pPr>
      <w:r>
        <w:rPr>
          <w:sz w:val="28"/>
          <w:szCs w:val="28"/>
          <w:lang w:val="uk-UA"/>
        </w:rPr>
        <w:t>В Законі України «Про Державний бюджет України на 2016 рік» відповідні видатки у вигляді субвенції з державного бюджету місцевим бюджетам не були передбачені.</w:t>
      </w:r>
    </w:p>
    <w:p w14:paraId="5F6A02C4" w14:textId="77777777" w:rsidR="00C4788E" w:rsidRDefault="00C4788E" w:rsidP="00C4788E">
      <w:pPr>
        <w:pStyle w:val="p9"/>
        <w:spacing w:before="0" w:beforeAutospacing="0" w:after="0" w:afterAutospacing="0" w:line="0" w:lineRule="atLeast"/>
        <w:jc w:val="both"/>
        <w:rPr>
          <w:sz w:val="28"/>
          <w:szCs w:val="28"/>
          <w:lang w:val="uk-UA"/>
        </w:rPr>
      </w:pPr>
      <w:r>
        <w:rPr>
          <w:sz w:val="28"/>
          <w:szCs w:val="28"/>
          <w:lang w:val="uk-UA"/>
        </w:rPr>
        <w:tab/>
        <w:t xml:space="preserve">З 1 червня 2015 року відбулися зміни щодо переліку пільгових категорій населення, які мали право на безкоштовний проїзд за раніше діючим законодавством. Право на пільговий проїзд втратили особи, які належали до ветеранів праці, дітей війни та деяких інших категорій. У зв’язку з тим, що більшість осіб з вказаних пільгових категорії є також пенсіонерами за віком (за якими це право зберігається), обсяги пільгових перевезень залишилися на тому ж рівні. </w:t>
      </w:r>
    </w:p>
    <w:p w14:paraId="00F8F9DD" w14:textId="77777777" w:rsidR="00C4788E" w:rsidRDefault="00C4788E" w:rsidP="00C4788E">
      <w:pPr>
        <w:pStyle w:val="p1"/>
        <w:spacing w:before="0" w:beforeAutospacing="0" w:after="0" w:afterAutospacing="0" w:line="0" w:lineRule="atLeast"/>
        <w:ind w:firstLine="720"/>
        <w:jc w:val="both"/>
        <w:rPr>
          <w:sz w:val="28"/>
          <w:szCs w:val="28"/>
          <w:lang w:val="uk-UA"/>
        </w:rPr>
      </w:pPr>
      <w:r>
        <w:rPr>
          <w:sz w:val="28"/>
          <w:szCs w:val="28"/>
          <w:lang w:val="uk-UA"/>
        </w:rPr>
        <w:tab/>
        <w:t>З 1 січня 2016 року набув чинності Закон України «Про внесення змін до деяких законодавчих актів України (щодо стабілізації фінансового стану держави та удосконалення окремих положень соціальної політики)», яким органам місцевого самоврядування передані повноваження ухвалювати рішення про надання окремих видів пільг для низки категорій громадян, для яких раніше ці пільги забезпечувала держава. Зокрема, йдеться про безоплатний проїзд у громадському транспорті, користування квартирним телефоном, санаторно-курортне оздоровлення, відшкодування проїзду пільгової категорії ЧАЕС, медичного обслуговування осіб, які постраждали внаслідок Чорнобильської катастрофи, компенсації на поховання, грошової компенсації на бензин, ремонт і технічне обслуговування автомобілів та транспортне обслуговування.</w:t>
      </w:r>
    </w:p>
    <w:p w14:paraId="6A9652E6" w14:textId="77777777" w:rsidR="00C4788E" w:rsidRDefault="00C4788E" w:rsidP="00C4788E">
      <w:pPr>
        <w:pStyle w:val="p1"/>
        <w:spacing w:before="0" w:beforeAutospacing="0" w:after="0" w:afterAutospacing="0" w:line="0" w:lineRule="atLeast"/>
        <w:ind w:firstLine="720"/>
        <w:jc w:val="both"/>
        <w:rPr>
          <w:sz w:val="28"/>
          <w:szCs w:val="28"/>
          <w:lang w:val="uk-UA"/>
        </w:rPr>
      </w:pPr>
      <w:r>
        <w:rPr>
          <w:sz w:val="28"/>
          <w:szCs w:val="28"/>
          <w:lang w:val="uk-UA"/>
        </w:rPr>
        <w:t>Ситуація, що склалася, потребує врегулювання, оскільки пільговим категоріям громадян проблематично скористатися правом на пільговий проїзд через обмежене фінансування, а перевізники несуть фінансові втрати через відсутність компенсаційних виплат за пільгове перевезення окремих категорій громадян.</w:t>
      </w:r>
    </w:p>
    <w:p w14:paraId="23F72390" w14:textId="77777777" w:rsidR="00C4788E" w:rsidRDefault="00C4788E" w:rsidP="00C4788E">
      <w:pPr>
        <w:pStyle w:val="p1"/>
        <w:spacing w:before="0" w:beforeAutospacing="0" w:after="0" w:afterAutospacing="0" w:line="0" w:lineRule="atLeast"/>
        <w:ind w:firstLine="720"/>
        <w:jc w:val="both"/>
        <w:rPr>
          <w:rStyle w:val="s2"/>
          <w:b/>
        </w:rPr>
      </w:pPr>
      <w:r>
        <w:rPr>
          <w:sz w:val="28"/>
          <w:szCs w:val="28"/>
          <w:lang w:val="uk-UA"/>
        </w:rPr>
        <w:t>Розв’язання даної проблеми потребує скоординованих дій структурних підрозділів  органів місцевого самоврядування.</w:t>
      </w:r>
    </w:p>
    <w:p w14:paraId="5B1C20BB" w14:textId="77777777" w:rsidR="00C4788E" w:rsidRDefault="00C4788E" w:rsidP="00C4788E">
      <w:pPr>
        <w:pStyle w:val="p1"/>
        <w:spacing w:before="0" w:beforeAutospacing="0" w:after="0" w:afterAutospacing="0" w:line="0" w:lineRule="atLeast"/>
        <w:ind w:firstLine="720"/>
        <w:jc w:val="center"/>
        <w:rPr>
          <w:rStyle w:val="s2"/>
          <w:b/>
          <w:sz w:val="28"/>
          <w:szCs w:val="28"/>
          <w:lang w:val="uk-UA"/>
        </w:rPr>
      </w:pPr>
    </w:p>
    <w:p w14:paraId="61208278" w14:textId="77777777" w:rsidR="00C4788E" w:rsidRDefault="00C4788E" w:rsidP="00C4788E">
      <w:pPr>
        <w:pStyle w:val="p1"/>
        <w:spacing w:before="0" w:beforeAutospacing="0" w:after="0" w:afterAutospacing="0" w:line="0" w:lineRule="atLeast"/>
        <w:ind w:firstLine="720"/>
        <w:jc w:val="center"/>
      </w:pPr>
      <w:r>
        <w:rPr>
          <w:rStyle w:val="s2"/>
          <w:b/>
          <w:sz w:val="28"/>
          <w:szCs w:val="28"/>
          <w:lang w:val="uk-UA"/>
        </w:rPr>
        <w:t>ІV. Мета та основні завдання Програми</w:t>
      </w:r>
    </w:p>
    <w:p w14:paraId="373A1BF2" w14:textId="77777777" w:rsidR="00C4788E" w:rsidRDefault="00C4788E" w:rsidP="00C4788E">
      <w:pPr>
        <w:pStyle w:val="p1"/>
        <w:spacing w:before="0" w:beforeAutospacing="0" w:after="0" w:afterAutospacing="0" w:line="0" w:lineRule="atLeast"/>
        <w:jc w:val="center"/>
        <w:rPr>
          <w:b/>
          <w:sz w:val="28"/>
          <w:szCs w:val="28"/>
          <w:lang w:val="uk-UA"/>
        </w:rPr>
      </w:pPr>
    </w:p>
    <w:p w14:paraId="4B4EF166" w14:textId="77777777" w:rsidR="00C4788E" w:rsidRDefault="00C4788E" w:rsidP="00C4788E">
      <w:pPr>
        <w:pStyle w:val="p1"/>
        <w:spacing w:before="0" w:beforeAutospacing="0" w:after="0" w:afterAutospacing="0" w:line="0" w:lineRule="atLeast"/>
        <w:ind w:firstLine="720"/>
        <w:jc w:val="both"/>
        <w:rPr>
          <w:sz w:val="28"/>
          <w:szCs w:val="28"/>
          <w:lang w:val="uk-UA"/>
        </w:rPr>
      </w:pPr>
      <w:r>
        <w:rPr>
          <w:sz w:val="28"/>
          <w:szCs w:val="28"/>
          <w:lang w:val="uk-UA"/>
        </w:rPr>
        <w:t xml:space="preserve">Метою Програми є реалізація державної політики в галузі соціального захисту окремих категорій населення громади шляхом забезпечення можливості пільгового проїзду, користування квартирним телефоном, санаторно-курортного лікування, відшкодування проїзду та медичного обслуговування пільговій категорії громадян, які постраждали внаслідок аварії на ЧАЕС, компенсації на поховання, грошової компенсації на бензин, ремонт і технічне обслуговування автомобілів та </w:t>
      </w:r>
    </w:p>
    <w:p w14:paraId="2E8FB1C5" w14:textId="77777777" w:rsidR="00C4788E" w:rsidRDefault="00C4788E" w:rsidP="00C4788E">
      <w:pPr>
        <w:pStyle w:val="p1"/>
        <w:spacing w:before="0" w:beforeAutospacing="0" w:after="0" w:afterAutospacing="0" w:line="0" w:lineRule="atLeast"/>
        <w:jc w:val="both"/>
        <w:rPr>
          <w:sz w:val="28"/>
          <w:szCs w:val="28"/>
          <w:lang w:val="uk-UA"/>
        </w:rPr>
      </w:pPr>
      <w:r>
        <w:rPr>
          <w:sz w:val="28"/>
          <w:szCs w:val="28"/>
          <w:lang w:val="uk-UA"/>
        </w:rPr>
        <w:t>транспортне обслуговування на 2022-2024 роки за рахунок коштів   бюджету Козятинської міської територіальної громади.</w:t>
      </w:r>
    </w:p>
    <w:p w14:paraId="59A392A1" w14:textId="77777777" w:rsidR="00C4788E" w:rsidRDefault="00C4788E" w:rsidP="00C4788E">
      <w:pPr>
        <w:pStyle w:val="p9"/>
        <w:spacing w:before="0" w:beforeAutospacing="0" w:after="0" w:afterAutospacing="0" w:line="0" w:lineRule="atLeast"/>
        <w:ind w:firstLine="708"/>
        <w:jc w:val="both"/>
        <w:rPr>
          <w:sz w:val="28"/>
          <w:szCs w:val="28"/>
          <w:lang w:val="uk-UA"/>
        </w:rPr>
      </w:pPr>
      <w:r>
        <w:rPr>
          <w:sz w:val="28"/>
          <w:szCs w:val="28"/>
          <w:lang w:val="uk-UA"/>
        </w:rPr>
        <w:t>Для досягнення мети Програми</w:t>
      </w:r>
      <w:r>
        <w:rPr>
          <w:b/>
          <w:sz w:val="28"/>
          <w:szCs w:val="28"/>
          <w:lang w:val="uk-UA"/>
        </w:rPr>
        <w:t xml:space="preserve"> </w:t>
      </w:r>
      <w:r>
        <w:rPr>
          <w:sz w:val="28"/>
          <w:szCs w:val="28"/>
          <w:lang w:val="uk-UA"/>
        </w:rPr>
        <w:t>необхідно вирішити такі завдання:</w:t>
      </w:r>
    </w:p>
    <w:p w14:paraId="733D0FF0" w14:textId="77777777" w:rsidR="00C4788E" w:rsidRDefault="00C4788E" w:rsidP="00C4788E">
      <w:pPr>
        <w:pStyle w:val="p1"/>
        <w:spacing w:before="0" w:beforeAutospacing="0" w:after="0" w:afterAutospacing="0" w:line="0" w:lineRule="atLeast"/>
        <w:ind w:firstLine="720"/>
        <w:jc w:val="both"/>
        <w:rPr>
          <w:sz w:val="28"/>
          <w:szCs w:val="28"/>
          <w:lang w:val="uk-UA"/>
        </w:rPr>
      </w:pPr>
      <w:r>
        <w:rPr>
          <w:rStyle w:val="s8"/>
          <w:sz w:val="28"/>
          <w:szCs w:val="28"/>
          <w:lang w:val="uk-UA"/>
        </w:rPr>
        <w:t>​ </w:t>
      </w:r>
      <w:r>
        <w:rPr>
          <w:rStyle w:val="s8"/>
          <w:sz w:val="28"/>
          <w:szCs w:val="28"/>
          <w:lang w:val="uk-UA"/>
        </w:rPr>
        <w:sym w:font="Symbol" w:char="F02D"/>
      </w:r>
      <w:r>
        <w:rPr>
          <w:rStyle w:val="s8"/>
          <w:sz w:val="28"/>
          <w:szCs w:val="28"/>
          <w:lang w:val="uk-UA"/>
        </w:rPr>
        <w:t xml:space="preserve"> </w:t>
      </w:r>
      <w:r>
        <w:rPr>
          <w:sz w:val="28"/>
          <w:szCs w:val="28"/>
          <w:lang w:val="uk-UA"/>
        </w:rPr>
        <w:t>передбачити в бюджеті громади кошти на здійснення компенсаційних виплат за пільговий проїзд окремих категорій громадян та фінансування санаторно-курортного оздоровлення, відшкодування проїзду та медичного обслуговування осіб, які постраждали внаслідок Чорнобильської катастрофи, компенсації на поховання, грошової компенсації на бензин, ремонт і технічне обслуговування автомобілів та транспортне обслуговування;</w:t>
      </w:r>
    </w:p>
    <w:p w14:paraId="08996825" w14:textId="77777777" w:rsidR="00C4788E" w:rsidRDefault="00C4788E" w:rsidP="00C4788E">
      <w:pPr>
        <w:pStyle w:val="p9"/>
        <w:spacing w:before="0" w:beforeAutospacing="0" w:after="0" w:afterAutospacing="0" w:line="0" w:lineRule="atLeast"/>
        <w:jc w:val="both"/>
        <w:rPr>
          <w:sz w:val="28"/>
          <w:szCs w:val="28"/>
          <w:lang w:val="uk-UA"/>
        </w:rPr>
      </w:pPr>
      <w:r>
        <w:rPr>
          <w:sz w:val="28"/>
          <w:szCs w:val="28"/>
          <w:lang w:val="uk-UA"/>
        </w:rPr>
        <w:lastRenderedPageBreak/>
        <w:t xml:space="preserve"> </w:t>
      </w:r>
      <w:r>
        <w:rPr>
          <w:rStyle w:val="s8"/>
          <w:sz w:val="28"/>
          <w:szCs w:val="28"/>
          <w:lang w:val="uk-UA"/>
        </w:rPr>
        <w:t>​ </w:t>
      </w:r>
      <w:r>
        <w:rPr>
          <w:rStyle w:val="s8"/>
          <w:sz w:val="28"/>
          <w:szCs w:val="28"/>
          <w:lang w:val="uk-UA"/>
        </w:rPr>
        <w:tab/>
      </w:r>
      <w:r>
        <w:rPr>
          <w:rStyle w:val="s8"/>
          <w:sz w:val="28"/>
          <w:szCs w:val="28"/>
          <w:lang w:val="uk-UA"/>
        </w:rPr>
        <w:sym w:font="Symbol" w:char="F02D"/>
      </w:r>
      <w:r>
        <w:rPr>
          <w:rStyle w:val="s8"/>
          <w:sz w:val="28"/>
          <w:szCs w:val="28"/>
          <w:lang w:val="uk-UA"/>
        </w:rPr>
        <w:t xml:space="preserve"> </w:t>
      </w:r>
      <w:r>
        <w:rPr>
          <w:sz w:val="28"/>
          <w:szCs w:val="28"/>
          <w:lang w:val="uk-UA"/>
        </w:rPr>
        <w:t>забезпечити проведення розрахунків за пільговий проїзд окремих категорій громадян залізничним транспортом приміського сполучення;</w:t>
      </w:r>
    </w:p>
    <w:p w14:paraId="003D13F5" w14:textId="77777777" w:rsidR="00C4788E" w:rsidRDefault="00C4788E" w:rsidP="00C4788E">
      <w:pPr>
        <w:pStyle w:val="p9"/>
        <w:spacing w:before="0" w:beforeAutospacing="0" w:after="0" w:afterAutospacing="0" w:line="0" w:lineRule="atLeast"/>
        <w:jc w:val="both"/>
        <w:rPr>
          <w:sz w:val="28"/>
          <w:szCs w:val="28"/>
          <w:lang w:val="uk-UA"/>
        </w:rPr>
      </w:pPr>
      <w:r>
        <w:rPr>
          <w:rStyle w:val="s8"/>
          <w:sz w:val="28"/>
          <w:szCs w:val="28"/>
          <w:lang w:val="uk-UA"/>
        </w:rPr>
        <w:t>​ </w:t>
      </w:r>
      <w:r>
        <w:rPr>
          <w:rStyle w:val="s8"/>
          <w:sz w:val="28"/>
          <w:szCs w:val="28"/>
          <w:lang w:val="uk-UA"/>
        </w:rPr>
        <w:tab/>
      </w:r>
      <w:r>
        <w:rPr>
          <w:rStyle w:val="s8"/>
          <w:sz w:val="28"/>
          <w:szCs w:val="28"/>
          <w:lang w:val="uk-UA"/>
        </w:rPr>
        <w:sym w:font="Symbol" w:char="F02D"/>
      </w:r>
      <w:r>
        <w:rPr>
          <w:rStyle w:val="s8"/>
          <w:sz w:val="28"/>
          <w:szCs w:val="28"/>
          <w:lang w:val="uk-UA"/>
        </w:rPr>
        <w:t xml:space="preserve"> </w:t>
      </w:r>
      <w:r>
        <w:rPr>
          <w:sz w:val="28"/>
          <w:szCs w:val="28"/>
          <w:lang w:val="uk-UA"/>
        </w:rPr>
        <w:t>забезпечити проведення розрахунків за пільговий проїзд окремих категорій громадян автомобільним транспортом міського та приміського сполучення</w:t>
      </w:r>
      <w:r>
        <w:rPr>
          <w:sz w:val="28"/>
          <w:szCs w:val="28"/>
        </w:rPr>
        <w:t xml:space="preserve"> </w:t>
      </w:r>
      <w:r>
        <w:rPr>
          <w:sz w:val="28"/>
          <w:szCs w:val="28"/>
          <w:lang w:val="uk-UA"/>
        </w:rPr>
        <w:t>ФОП Іванюк М.І.;</w:t>
      </w:r>
    </w:p>
    <w:p w14:paraId="4233608A" w14:textId="77777777" w:rsidR="00C4788E" w:rsidRDefault="00C4788E" w:rsidP="00C4788E">
      <w:pPr>
        <w:pStyle w:val="p9"/>
        <w:spacing w:before="0" w:beforeAutospacing="0" w:after="0" w:afterAutospacing="0" w:line="0" w:lineRule="atLeast"/>
        <w:jc w:val="both"/>
        <w:rPr>
          <w:b/>
          <w:lang w:val="uk-UA"/>
        </w:rPr>
      </w:pPr>
      <w:r>
        <w:rPr>
          <w:rStyle w:val="s8"/>
          <w:sz w:val="28"/>
          <w:szCs w:val="28"/>
          <w:lang w:val="uk-UA"/>
        </w:rPr>
        <w:t>​</w:t>
      </w:r>
      <w:r>
        <w:rPr>
          <w:rStyle w:val="s8"/>
          <w:sz w:val="28"/>
          <w:szCs w:val="28"/>
          <w:lang w:val="uk-UA"/>
        </w:rPr>
        <w:tab/>
      </w:r>
      <w:r>
        <w:rPr>
          <w:rStyle w:val="s8"/>
          <w:sz w:val="28"/>
          <w:szCs w:val="28"/>
          <w:lang w:val="uk-UA"/>
        </w:rPr>
        <w:sym w:font="Symbol" w:char="F02D"/>
      </w:r>
      <w:r>
        <w:rPr>
          <w:rStyle w:val="s8"/>
          <w:sz w:val="28"/>
          <w:szCs w:val="28"/>
          <w:lang w:val="uk-UA"/>
        </w:rPr>
        <w:t xml:space="preserve"> </w:t>
      </w:r>
      <w:r>
        <w:rPr>
          <w:sz w:val="28"/>
          <w:szCs w:val="28"/>
          <w:lang w:val="uk-UA"/>
        </w:rPr>
        <w:t xml:space="preserve">забезпечити проведення розрахунків за надані пільги з </w:t>
      </w:r>
      <w:r>
        <w:rPr>
          <w:rStyle w:val="s10"/>
          <w:sz w:val="28"/>
          <w:szCs w:val="28"/>
          <w:lang w:val="uk-UA"/>
        </w:rPr>
        <w:t xml:space="preserve">підприємством </w:t>
      </w:r>
      <w:r>
        <w:rPr>
          <w:sz w:val="28"/>
          <w:szCs w:val="28"/>
          <w:lang w:val="uk-UA"/>
        </w:rPr>
        <w:t xml:space="preserve">ПАТ </w:t>
      </w:r>
      <w:r>
        <w:rPr>
          <w:rStyle w:val="s10"/>
          <w:sz w:val="28"/>
          <w:szCs w:val="28"/>
          <w:lang w:val="uk-UA"/>
        </w:rPr>
        <w:t>„Укртелеком”.</w:t>
      </w:r>
    </w:p>
    <w:p w14:paraId="480B735D" w14:textId="77777777" w:rsidR="00C4788E" w:rsidRDefault="00C4788E" w:rsidP="00C4788E">
      <w:pPr>
        <w:pStyle w:val="aa"/>
        <w:spacing w:line="0" w:lineRule="atLeast"/>
        <w:rPr>
          <w:b/>
          <w:sz w:val="22"/>
          <w:szCs w:val="22"/>
          <w:lang w:val="uk-UA"/>
        </w:rPr>
      </w:pPr>
      <w:r>
        <w:rPr>
          <w:b/>
          <w:sz w:val="22"/>
          <w:szCs w:val="22"/>
          <w:lang w:val="uk-UA"/>
        </w:rPr>
        <w:t xml:space="preserve">V. Ресурсне забезпечення Програми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132"/>
        <w:gridCol w:w="34"/>
        <w:gridCol w:w="1032"/>
        <w:gridCol w:w="1183"/>
        <w:gridCol w:w="1061"/>
        <w:gridCol w:w="1166"/>
        <w:gridCol w:w="1061"/>
        <w:gridCol w:w="1166"/>
      </w:tblGrid>
      <w:tr w:rsidR="00C4788E" w14:paraId="4E181547"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7A5587DB" w14:textId="77777777" w:rsidR="00C4788E" w:rsidRDefault="00C4788E" w:rsidP="009948A5">
            <w:pPr>
              <w:pStyle w:val="p1"/>
              <w:jc w:val="both"/>
              <w:rPr>
                <w:b/>
                <w:sz w:val="20"/>
                <w:szCs w:val="20"/>
                <w:lang w:val="uk-UA"/>
              </w:rPr>
            </w:pPr>
            <w:r>
              <w:rPr>
                <w:sz w:val="20"/>
                <w:szCs w:val="20"/>
                <w:lang w:val="uk-UA"/>
              </w:rPr>
              <w:t>Обсяг коштів, які пропонується залучити на  виконання Програми</w:t>
            </w:r>
          </w:p>
        </w:tc>
        <w:tc>
          <w:tcPr>
            <w:tcW w:w="6491" w:type="dxa"/>
            <w:gridSpan w:val="7"/>
            <w:tcBorders>
              <w:top w:val="single" w:sz="4" w:space="0" w:color="auto"/>
              <w:left w:val="single" w:sz="4" w:space="0" w:color="auto"/>
              <w:bottom w:val="single" w:sz="4" w:space="0" w:color="auto"/>
              <w:right w:val="single" w:sz="4" w:space="0" w:color="auto"/>
            </w:tcBorders>
            <w:hideMark/>
          </w:tcPr>
          <w:p w14:paraId="3E49CAEE" w14:textId="77777777" w:rsidR="00C4788E" w:rsidRDefault="00C4788E" w:rsidP="009948A5">
            <w:pPr>
              <w:pStyle w:val="p1"/>
              <w:jc w:val="both"/>
              <w:rPr>
                <w:b/>
                <w:sz w:val="20"/>
                <w:szCs w:val="20"/>
                <w:lang w:val="uk-UA"/>
              </w:rPr>
            </w:pPr>
            <w:r>
              <w:rPr>
                <w:sz w:val="20"/>
                <w:szCs w:val="20"/>
                <w:lang w:val="uk-UA"/>
              </w:rPr>
              <w:t>Етапи виконання програми</w:t>
            </w:r>
          </w:p>
        </w:tc>
        <w:tc>
          <w:tcPr>
            <w:tcW w:w="1166" w:type="dxa"/>
            <w:vMerge w:val="restart"/>
            <w:tcBorders>
              <w:top w:val="single" w:sz="4" w:space="0" w:color="auto"/>
              <w:left w:val="single" w:sz="4" w:space="0" w:color="auto"/>
              <w:bottom w:val="single" w:sz="4" w:space="0" w:color="auto"/>
              <w:right w:val="single" w:sz="4" w:space="0" w:color="auto"/>
            </w:tcBorders>
          </w:tcPr>
          <w:p w14:paraId="2FFAD55E" w14:textId="77777777" w:rsidR="00C4788E" w:rsidRDefault="00C4788E" w:rsidP="009948A5">
            <w:pPr>
              <w:pStyle w:val="aa"/>
              <w:rPr>
                <w:sz w:val="20"/>
                <w:szCs w:val="20"/>
                <w:lang w:val="uk-UA" w:eastAsia="uk-UA"/>
              </w:rPr>
            </w:pPr>
            <w:r>
              <w:rPr>
                <w:sz w:val="20"/>
                <w:lang w:val="uk-UA"/>
              </w:rPr>
              <w:t>Усього витрат на виконання Програми</w:t>
            </w:r>
          </w:p>
          <w:p w14:paraId="44D846DF" w14:textId="77777777" w:rsidR="00C4788E" w:rsidRDefault="00C4788E" w:rsidP="009948A5">
            <w:pPr>
              <w:pStyle w:val="aa"/>
              <w:rPr>
                <w:sz w:val="20"/>
                <w:lang w:val="uk-UA"/>
              </w:rPr>
            </w:pPr>
            <w:r>
              <w:rPr>
                <w:sz w:val="20"/>
                <w:lang w:val="uk-UA"/>
              </w:rPr>
              <w:t>(</w:t>
            </w:r>
            <w:proofErr w:type="spellStart"/>
            <w:r>
              <w:rPr>
                <w:sz w:val="20"/>
                <w:lang w:val="uk-UA"/>
              </w:rPr>
              <w:t>тис.грн</w:t>
            </w:r>
            <w:proofErr w:type="spellEnd"/>
            <w:r>
              <w:rPr>
                <w:sz w:val="20"/>
                <w:lang w:val="uk-UA"/>
              </w:rPr>
              <w:t>.)</w:t>
            </w:r>
          </w:p>
          <w:p w14:paraId="3823BD0B" w14:textId="77777777" w:rsidR="00C4788E" w:rsidRDefault="00C4788E" w:rsidP="009948A5">
            <w:pPr>
              <w:pStyle w:val="p1"/>
              <w:jc w:val="both"/>
              <w:rPr>
                <w:b/>
                <w:sz w:val="20"/>
                <w:szCs w:val="20"/>
                <w:lang w:val="uk-UA"/>
              </w:rPr>
            </w:pPr>
          </w:p>
        </w:tc>
      </w:tr>
      <w:tr w:rsidR="00C4788E" w14:paraId="3062FCE8" w14:textId="77777777" w:rsidTr="009948A5">
        <w:trPr>
          <w:trHeight w:val="492"/>
        </w:trPr>
        <w:tc>
          <w:tcPr>
            <w:tcW w:w="2657" w:type="dxa"/>
            <w:vMerge w:val="restart"/>
            <w:tcBorders>
              <w:top w:val="single" w:sz="4" w:space="0" w:color="auto"/>
              <w:left w:val="single" w:sz="4" w:space="0" w:color="auto"/>
              <w:bottom w:val="single" w:sz="4" w:space="0" w:color="auto"/>
              <w:right w:val="single" w:sz="4" w:space="0" w:color="auto"/>
            </w:tcBorders>
            <w:hideMark/>
          </w:tcPr>
          <w:p w14:paraId="0CF52D2C" w14:textId="77777777" w:rsidR="00C4788E" w:rsidRDefault="00C4788E" w:rsidP="009948A5">
            <w:pPr>
              <w:pStyle w:val="p1"/>
              <w:jc w:val="both"/>
              <w:rPr>
                <w:b/>
                <w:sz w:val="20"/>
                <w:szCs w:val="20"/>
                <w:lang w:val="uk-UA"/>
              </w:rPr>
            </w:pPr>
            <w:r>
              <w:rPr>
                <w:sz w:val="20"/>
                <w:szCs w:val="20"/>
                <w:lang w:val="uk-UA"/>
              </w:rPr>
              <w:t>Обсяг ресурсів, усього, в т.ч.:</w:t>
            </w:r>
          </w:p>
        </w:tc>
        <w:tc>
          <w:tcPr>
            <w:tcW w:w="2027" w:type="dxa"/>
            <w:gridSpan w:val="3"/>
            <w:tcBorders>
              <w:top w:val="single" w:sz="4" w:space="0" w:color="auto"/>
              <w:left w:val="single" w:sz="4" w:space="0" w:color="auto"/>
              <w:bottom w:val="single" w:sz="4" w:space="0" w:color="auto"/>
              <w:right w:val="single" w:sz="4" w:space="0" w:color="auto"/>
            </w:tcBorders>
            <w:vAlign w:val="center"/>
            <w:hideMark/>
          </w:tcPr>
          <w:p w14:paraId="34D2A56F" w14:textId="77777777" w:rsidR="00C4788E" w:rsidRDefault="00C4788E" w:rsidP="009948A5">
            <w:pPr>
              <w:pStyle w:val="aa"/>
              <w:rPr>
                <w:sz w:val="20"/>
                <w:lang w:val="uk-UA"/>
              </w:rPr>
            </w:pPr>
            <w:r>
              <w:rPr>
                <w:sz w:val="20"/>
                <w:lang w:val="uk-UA"/>
              </w:rPr>
              <w:t>2022 рік</w:t>
            </w:r>
          </w:p>
        </w:tc>
        <w:tc>
          <w:tcPr>
            <w:tcW w:w="2251" w:type="dxa"/>
            <w:gridSpan w:val="2"/>
            <w:tcBorders>
              <w:top w:val="single" w:sz="4" w:space="0" w:color="auto"/>
              <w:left w:val="single" w:sz="4" w:space="0" w:color="auto"/>
              <w:bottom w:val="single" w:sz="4" w:space="0" w:color="auto"/>
              <w:right w:val="single" w:sz="4" w:space="0" w:color="auto"/>
            </w:tcBorders>
            <w:vAlign w:val="center"/>
            <w:hideMark/>
          </w:tcPr>
          <w:p w14:paraId="102172DC" w14:textId="77777777" w:rsidR="00C4788E" w:rsidRDefault="00C4788E" w:rsidP="009948A5">
            <w:pPr>
              <w:pStyle w:val="aa"/>
              <w:rPr>
                <w:sz w:val="20"/>
                <w:lang w:val="uk-UA"/>
              </w:rPr>
            </w:pPr>
            <w:r>
              <w:rPr>
                <w:sz w:val="20"/>
                <w:lang w:val="uk-UA"/>
              </w:rPr>
              <w:t>2023 рік</w:t>
            </w:r>
          </w:p>
        </w:tc>
        <w:tc>
          <w:tcPr>
            <w:tcW w:w="2213" w:type="dxa"/>
            <w:gridSpan w:val="2"/>
            <w:tcBorders>
              <w:top w:val="single" w:sz="4" w:space="0" w:color="auto"/>
              <w:left w:val="single" w:sz="4" w:space="0" w:color="auto"/>
              <w:bottom w:val="single" w:sz="4" w:space="0" w:color="auto"/>
              <w:right w:val="single" w:sz="4" w:space="0" w:color="auto"/>
            </w:tcBorders>
            <w:vAlign w:val="center"/>
            <w:hideMark/>
          </w:tcPr>
          <w:p w14:paraId="6E402C19" w14:textId="77777777" w:rsidR="00C4788E" w:rsidRDefault="00C4788E" w:rsidP="009948A5">
            <w:pPr>
              <w:pStyle w:val="aa"/>
              <w:rPr>
                <w:sz w:val="20"/>
                <w:lang w:val="uk-UA"/>
              </w:rPr>
            </w:pPr>
            <w:r>
              <w:rPr>
                <w:sz w:val="20"/>
                <w:lang w:val="uk-UA"/>
              </w:rPr>
              <w:t>2024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8B48B" w14:textId="77777777" w:rsidR="00C4788E" w:rsidRDefault="00C4788E" w:rsidP="009948A5">
            <w:pPr>
              <w:spacing w:after="0" w:line="240" w:lineRule="auto"/>
              <w:rPr>
                <w:rFonts w:ascii="Times New Roman" w:hAnsi="Times New Roman"/>
                <w:b/>
                <w:sz w:val="20"/>
                <w:szCs w:val="20"/>
                <w:lang w:eastAsia="ru-RU"/>
              </w:rPr>
            </w:pPr>
          </w:p>
        </w:tc>
      </w:tr>
      <w:tr w:rsidR="00C4788E" w14:paraId="420AA884" w14:textId="77777777" w:rsidTr="009948A5">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D23E6" w14:textId="77777777" w:rsidR="00C4788E" w:rsidRDefault="00C4788E" w:rsidP="009948A5">
            <w:pPr>
              <w:spacing w:after="0" w:line="240" w:lineRule="auto"/>
              <w:rPr>
                <w:rFonts w:ascii="Times New Roman" w:hAnsi="Times New Roman"/>
                <w:b/>
                <w:sz w:val="20"/>
                <w:szCs w:val="20"/>
                <w:lang w:eastAsia="ru-RU"/>
              </w:rPr>
            </w:pPr>
          </w:p>
        </w:tc>
        <w:tc>
          <w:tcPr>
            <w:tcW w:w="966" w:type="dxa"/>
            <w:tcBorders>
              <w:top w:val="single" w:sz="4" w:space="0" w:color="auto"/>
              <w:left w:val="single" w:sz="4" w:space="0" w:color="auto"/>
              <w:bottom w:val="single" w:sz="4" w:space="0" w:color="auto"/>
              <w:right w:val="single" w:sz="4" w:space="0" w:color="auto"/>
            </w:tcBorders>
            <w:vAlign w:val="center"/>
            <w:hideMark/>
          </w:tcPr>
          <w:p w14:paraId="21A723AB" w14:textId="77777777" w:rsidR="00C4788E" w:rsidRDefault="00C4788E" w:rsidP="009948A5">
            <w:pPr>
              <w:pStyle w:val="aa"/>
              <w:rPr>
                <w:sz w:val="20"/>
                <w:lang w:val="uk-UA"/>
              </w:rPr>
            </w:pPr>
            <w:r>
              <w:rPr>
                <w:sz w:val="20"/>
                <w:lang w:val="uk-UA"/>
              </w:rPr>
              <w:t>Міський бюджет</w:t>
            </w:r>
          </w:p>
        </w:tc>
        <w:tc>
          <w:tcPr>
            <w:tcW w:w="1061" w:type="dxa"/>
            <w:gridSpan w:val="2"/>
            <w:tcBorders>
              <w:top w:val="single" w:sz="4" w:space="0" w:color="auto"/>
              <w:left w:val="single" w:sz="4" w:space="0" w:color="auto"/>
              <w:bottom w:val="single" w:sz="4" w:space="0" w:color="auto"/>
              <w:right w:val="single" w:sz="4" w:space="0" w:color="auto"/>
            </w:tcBorders>
            <w:vAlign w:val="center"/>
            <w:hideMark/>
          </w:tcPr>
          <w:p w14:paraId="24102D4A" w14:textId="77777777" w:rsidR="00C4788E" w:rsidRDefault="00C4788E" w:rsidP="009948A5">
            <w:pPr>
              <w:pStyle w:val="aa"/>
              <w:rPr>
                <w:sz w:val="20"/>
                <w:lang w:val="uk-UA"/>
              </w:rPr>
            </w:pPr>
            <w:r>
              <w:rPr>
                <w:sz w:val="20"/>
                <w:lang w:val="uk-UA"/>
              </w:rPr>
              <w:t>Обласний бюджет</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BA64561" w14:textId="77777777" w:rsidR="00C4788E" w:rsidRDefault="00C4788E" w:rsidP="009948A5">
            <w:pPr>
              <w:pStyle w:val="aa"/>
              <w:rPr>
                <w:sz w:val="20"/>
                <w:lang w:val="uk-UA"/>
              </w:rPr>
            </w:pPr>
            <w:r>
              <w:rPr>
                <w:sz w:val="20"/>
                <w:lang w:val="uk-UA"/>
              </w:rPr>
              <w:t>Міський бюджет</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4C05761" w14:textId="77777777" w:rsidR="00C4788E" w:rsidRDefault="00C4788E" w:rsidP="009948A5">
            <w:pPr>
              <w:pStyle w:val="aa"/>
              <w:rPr>
                <w:sz w:val="20"/>
                <w:lang w:val="uk-UA"/>
              </w:rPr>
            </w:pPr>
            <w:r>
              <w:rPr>
                <w:sz w:val="20"/>
                <w:lang w:val="uk-UA"/>
              </w:rPr>
              <w:t>Обласний бюджет</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1E50677" w14:textId="77777777" w:rsidR="00C4788E" w:rsidRDefault="00C4788E" w:rsidP="009948A5">
            <w:pPr>
              <w:pStyle w:val="aa"/>
              <w:rPr>
                <w:sz w:val="20"/>
                <w:lang w:val="uk-UA"/>
              </w:rPr>
            </w:pPr>
            <w:r>
              <w:rPr>
                <w:sz w:val="20"/>
                <w:lang w:val="uk-UA"/>
              </w:rPr>
              <w:t>Міський бюджет</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A360873" w14:textId="77777777" w:rsidR="00C4788E" w:rsidRDefault="00C4788E" w:rsidP="009948A5">
            <w:pPr>
              <w:pStyle w:val="aa"/>
              <w:rPr>
                <w:sz w:val="20"/>
                <w:lang w:val="uk-UA"/>
              </w:rPr>
            </w:pPr>
            <w:r>
              <w:rPr>
                <w:sz w:val="20"/>
                <w:lang w:val="uk-UA"/>
              </w:rPr>
              <w:t>Обласний бюджет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F227C" w14:textId="77777777" w:rsidR="00C4788E" w:rsidRDefault="00C4788E" w:rsidP="009948A5">
            <w:pPr>
              <w:spacing w:after="0" w:line="240" w:lineRule="auto"/>
              <w:rPr>
                <w:rFonts w:ascii="Times New Roman" w:hAnsi="Times New Roman"/>
                <w:b/>
                <w:sz w:val="20"/>
                <w:szCs w:val="20"/>
                <w:lang w:eastAsia="ru-RU"/>
              </w:rPr>
            </w:pPr>
          </w:p>
        </w:tc>
      </w:tr>
      <w:tr w:rsidR="00C4788E" w14:paraId="170A6FE7"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2DEFB602" w14:textId="77777777" w:rsidR="00C4788E" w:rsidRDefault="00C4788E" w:rsidP="009948A5">
            <w:pPr>
              <w:pStyle w:val="p1"/>
              <w:jc w:val="both"/>
              <w:rPr>
                <w:b/>
                <w:sz w:val="20"/>
                <w:szCs w:val="20"/>
                <w:lang w:val="uk-UA"/>
              </w:rPr>
            </w:pPr>
            <w:r>
              <w:rPr>
                <w:sz w:val="20"/>
                <w:szCs w:val="20"/>
                <w:lang w:val="uk-UA"/>
              </w:rPr>
              <w:t>Обсяг ресурсів на 2022-2024 роки для відшкодування коштів на надання послуг по встановленню телефонів та користуванню телекомунікаційними послугами пільгових категорій населення</w:t>
            </w:r>
          </w:p>
        </w:tc>
        <w:tc>
          <w:tcPr>
            <w:tcW w:w="966" w:type="dxa"/>
            <w:tcBorders>
              <w:top w:val="single" w:sz="4" w:space="0" w:color="auto"/>
              <w:left w:val="single" w:sz="4" w:space="0" w:color="auto"/>
              <w:bottom w:val="single" w:sz="4" w:space="0" w:color="auto"/>
              <w:right w:val="single" w:sz="4" w:space="0" w:color="auto"/>
            </w:tcBorders>
            <w:hideMark/>
          </w:tcPr>
          <w:p w14:paraId="60262D56" w14:textId="77777777" w:rsidR="00C4788E" w:rsidRPr="00142313" w:rsidRDefault="00C4788E" w:rsidP="009948A5">
            <w:pPr>
              <w:pStyle w:val="p1"/>
              <w:jc w:val="both"/>
              <w:rPr>
                <w:sz w:val="20"/>
                <w:szCs w:val="20"/>
                <w:lang w:val="uk-UA"/>
              </w:rPr>
            </w:pPr>
            <w:r w:rsidRPr="00142313">
              <w:rPr>
                <w:sz w:val="20"/>
                <w:szCs w:val="20"/>
                <w:lang w:val="uk-UA"/>
              </w:rPr>
              <w:t>67000,00</w:t>
            </w:r>
          </w:p>
        </w:tc>
        <w:tc>
          <w:tcPr>
            <w:tcW w:w="1061" w:type="dxa"/>
            <w:gridSpan w:val="2"/>
            <w:tcBorders>
              <w:top w:val="single" w:sz="4" w:space="0" w:color="auto"/>
              <w:left w:val="single" w:sz="4" w:space="0" w:color="auto"/>
              <w:bottom w:val="single" w:sz="4" w:space="0" w:color="auto"/>
              <w:right w:val="single" w:sz="4" w:space="0" w:color="auto"/>
            </w:tcBorders>
            <w:hideMark/>
          </w:tcPr>
          <w:p w14:paraId="33A62871"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086A359F" w14:textId="77777777" w:rsidR="00C4788E" w:rsidRPr="00142313" w:rsidRDefault="00C4788E" w:rsidP="009948A5">
            <w:pPr>
              <w:pStyle w:val="p1"/>
              <w:jc w:val="both"/>
              <w:rPr>
                <w:sz w:val="20"/>
                <w:szCs w:val="20"/>
                <w:lang w:val="uk-UA"/>
              </w:rPr>
            </w:pPr>
            <w:r w:rsidRPr="00142313">
              <w:rPr>
                <w:sz w:val="20"/>
                <w:szCs w:val="20"/>
                <w:lang w:val="uk-UA"/>
              </w:rPr>
              <w:t>66900,00</w:t>
            </w:r>
          </w:p>
        </w:tc>
        <w:tc>
          <w:tcPr>
            <w:tcW w:w="1061" w:type="dxa"/>
            <w:tcBorders>
              <w:top w:val="single" w:sz="4" w:space="0" w:color="auto"/>
              <w:left w:val="single" w:sz="4" w:space="0" w:color="auto"/>
              <w:bottom w:val="single" w:sz="4" w:space="0" w:color="auto"/>
              <w:right w:val="single" w:sz="4" w:space="0" w:color="auto"/>
            </w:tcBorders>
            <w:hideMark/>
          </w:tcPr>
          <w:p w14:paraId="6D97BB92"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7103D3AF" w14:textId="5B79747F" w:rsidR="00C4788E" w:rsidRPr="00C4788E" w:rsidRDefault="00C4788E" w:rsidP="00617A3A">
            <w:pPr>
              <w:pStyle w:val="p1"/>
              <w:jc w:val="both"/>
              <w:rPr>
                <w:b/>
                <w:sz w:val="20"/>
                <w:szCs w:val="20"/>
                <w:lang w:val="uk-UA"/>
              </w:rPr>
            </w:pPr>
            <w:r w:rsidRPr="00C4788E">
              <w:rPr>
                <w:b/>
                <w:sz w:val="20"/>
                <w:szCs w:val="20"/>
                <w:lang w:val="uk-UA"/>
              </w:rPr>
              <w:t>40400,00</w:t>
            </w:r>
          </w:p>
        </w:tc>
        <w:tc>
          <w:tcPr>
            <w:tcW w:w="1061" w:type="dxa"/>
            <w:tcBorders>
              <w:top w:val="single" w:sz="4" w:space="0" w:color="auto"/>
              <w:left w:val="single" w:sz="4" w:space="0" w:color="auto"/>
              <w:bottom w:val="single" w:sz="4" w:space="0" w:color="auto"/>
              <w:right w:val="single" w:sz="4" w:space="0" w:color="auto"/>
            </w:tcBorders>
            <w:hideMark/>
          </w:tcPr>
          <w:p w14:paraId="3ADCE652" w14:textId="77777777" w:rsidR="00C4788E" w:rsidRPr="00C4788E" w:rsidRDefault="00C4788E" w:rsidP="00617A3A">
            <w:pPr>
              <w:pStyle w:val="p1"/>
              <w:jc w:val="both"/>
              <w:rPr>
                <w:b/>
                <w:sz w:val="20"/>
                <w:szCs w:val="20"/>
                <w:lang w:val="uk-UA"/>
              </w:rPr>
            </w:pPr>
            <w:r w:rsidRPr="00C4788E">
              <w:rPr>
                <w:b/>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477CBA78" w14:textId="3DE48EB0" w:rsidR="00C4788E" w:rsidRPr="00C4788E" w:rsidRDefault="00C4788E" w:rsidP="00617A3A">
            <w:pPr>
              <w:pStyle w:val="p1"/>
              <w:jc w:val="both"/>
              <w:rPr>
                <w:b/>
                <w:sz w:val="20"/>
                <w:szCs w:val="20"/>
                <w:lang w:val="uk-UA"/>
              </w:rPr>
            </w:pPr>
            <w:r w:rsidRPr="00C4788E">
              <w:rPr>
                <w:b/>
                <w:sz w:val="20"/>
                <w:szCs w:val="20"/>
                <w:lang w:val="uk-UA"/>
              </w:rPr>
              <w:t>174300,00</w:t>
            </w:r>
          </w:p>
        </w:tc>
      </w:tr>
      <w:tr w:rsidR="00C4788E" w14:paraId="2BA6FF99" w14:textId="77777777" w:rsidTr="009948A5">
        <w:trPr>
          <w:trHeight w:val="814"/>
        </w:trPr>
        <w:tc>
          <w:tcPr>
            <w:tcW w:w="2657" w:type="dxa"/>
            <w:tcBorders>
              <w:top w:val="single" w:sz="4" w:space="0" w:color="auto"/>
              <w:left w:val="single" w:sz="4" w:space="0" w:color="auto"/>
              <w:bottom w:val="single" w:sz="4" w:space="0" w:color="auto"/>
              <w:right w:val="single" w:sz="4" w:space="0" w:color="auto"/>
            </w:tcBorders>
            <w:hideMark/>
          </w:tcPr>
          <w:p w14:paraId="0673B063" w14:textId="77777777" w:rsidR="00C4788E" w:rsidRDefault="00C4788E" w:rsidP="009948A5">
            <w:pPr>
              <w:pStyle w:val="p1"/>
              <w:jc w:val="both"/>
              <w:rPr>
                <w:b/>
                <w:sz w:val="20"/>
                <w:szCs w:val="20"/>
                <w:lang w:val="uk-UA"/>
              </w:rPr>
            </w:pPr>
            <w:r>
              <w:rPr>
                <w:sz w:val="20"/>
                <w:szCs w:val="20"/>
                <w:lang w:val="uk-UA"/>
              </w:rPr>
              <w:t>Обсяг ресурсів на 2022-2024 роки для забезпечення санаторно-курортним оздоровленням ветеранів війни</w:t>
            </w:r>
          </w:p>
        </w:tc>
        <w:tc>
          <w:tcPr>
            <w:tcW w:w="966" w:type="dxa"/>
            <w:tcBorders>
              <w:top w:val="single" w:sz="4" w:space="0" w:color="auto"/>
              <w:left w:val="single" w:sz="4" w:space="0" w:color="auto"/>
              <w:bottom w:val="single" w:sz="4" w:space="0" w:color="auto"/>
              <w:right w:val="single" w:sz="4" w:space="0" w:color="auto"/>
            </w:tcBorders>
            <w:hideMark/>
          </w:tcPr>
          <w:p w14:paraId="1F4273AC"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061" w:type="dxa"/>
            <w:gridSpan w:val="2"/>
            <w:tcBorders>
              <w:top w:val="single" w:sz="4" w:space="0" w:color="auto"/>
              <w:left w:val="single" w:sz="4" w:space="0" w:color="auto"/>
              <w:bottom w:val="single" w:sz="4" w:space="0" w:color="auto"/>
              <w:right w:val="single" w:sz="4" w:space="0" w:color="auto"/>
            </w:tcBorders>
            <w:hideMark/>
          </w:tcPr>
          <w:p w14:paraId="535C5FAE"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19CF7A05"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061" w:type="dxa"/>
            <w:tcBorders>
              <w:top w:val="single" w:sz="4" w:space="0" w:color="auto"/>
              <w:left w:val="single" w:sz="4" w:space="0" w:color="auto"/>
              <w:bottom w:val="single" w:sz="4" w:space="0" w:color="auto"/>
              <w:right w:val="single" w:sz="4" w:space="0" w:color="auto"/>
            </w:tcBorders>
            <w:hideMark/>
          </w:tcPr>
          <w:p w14:paraId="4788C332"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64B5238A"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061" w:type="dxa"/>
            <w:tcBorders>
              <w:top w:val="single" w:sz="4" w:space="0" w:color="auto"/>
              <w:left w:val="single" w:sz="4" w:space="0" w:color="auto"/>
              <w:bottom w:val="single" w:sz="4" w:space="0" w:color="auto"/>
              <w:right w:val="single" w:sz="4" w:space="0" w:color="auto"/>
            </w:tcBorders>
            <w:hideMark/>
          </w:tcPr>
          <w:p w14:paraId="14213ED3" w14:textId="77777777" w:rsidR="00C4788E" w:rsidRPr="00142313" w:rsidRDefault="00C4788E" w:rsidP="009948A5">
            <w:pPr>
              <w:pStyle w:val="p1"/>
              <w:jc w:val="both"/>
              <w:rPr>
                <w:sz w:val="20"/>
                <w:szCs w:val="20"/>
                <w:lang w:val="uk-UA"/>
              </w:rPr>
            </w:pPr>
            <w:r w:rsidRPr="00142313">
              <w:rPr>
                <w:sz w:val="20"/>
                <w:szCs w:val="20"/>
                <w:lang w:val="uk-UA"/>
              </w:rPr>
              <w:t>00,00</w:t>
            </w:r>
          </w:p>
        </w:tc>
        <w:tc>
          <w:tcPr>
            <w:tcW w:w="1166" w:type="dxa"/>
            <w:tcBorders>
              <w:top w:val="single" w:sz="4" w:space="0" w:color="auto"/>
              <w:left w:val="single" w:sz="4" w:space="0" w:color="auto"/>
              <w:bottom w:val="single" w:sz="4" w:space="0" w:color="auto"/>
              <w:right w:val="single" w:sz="4" w:space="0" w:color="auto"/>
            </w:tcBorders>
            <w:hideMark/>
          </w:tcPr>
          <w:p w14:paraId="5A73E863" w14:textId="77777777" w:rsidR="00C4788E" w:rsidRPr="00142313" w:rsidRDefault="00C4788E" w:rsidP="009948A5">
            <w:pPr>
              <w:pStyle w:val="p1"/>
              <w:jc w:val="both"/>
              <w:rPr>
                <w:sz w:val="20"/>
                <w:szCs w:val="20"/>
                <w:lang w:val="uk-UA"/>
              </w:rPr>
            </w:pPr>
            <w:r w:rsidRPr="00142313">
              <w:rPr>
                <w:sz w:val="20"/>
                <w:szCs w:val="20"/>
                <w:lang w:val="uk-UA"/>
              </w:rPr>
              <w:t>0,00</w:t>
            </w:r>
          </w:p>
        </w:tc>
      </w:tr>
      <w:tr w:rsidR="00C4788E" w14:paraId="116CB5B5"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40A85E0F" w14:textId="77777777" w:rsidR="00C4788E" w:rsidRDefault="00C4788E" w:rsidP="009948A5">
            <w:pPr>
              <w:pStyle w:val="p1"/>
              <w:jc w:val="both"/>
              <w:rPr>
                <w:b/>
                <w:sz w:val="20"/>
                <w:szCs w:val="20"/>
                <w:lang w:val="uk-UA"/>
              </w:rPr>
            </w:pPr>
            <w:r>
              <w:rPr>
                <w:sz w:val="20"/>
                <w:szCs w:val="20"/>
                <w:lang w:val="uk-UA"/>
              </w:rPr>
              <w:t>Обсяг ресурсів на 2022-2024 роки для забезпечення виплати компенсації на поховання учасників бойових дій, постраждалих учасників Революції Гідності і осіб з інвалідністю внаслідок війни</w:t>
            </w:r>
          </w:p>
        </w:tc>
        <w:tc>
          <w:tcPr>
            <w:tcW w:w="966" w:type="dxa"/>
            <w:tcBorders>
              <w:top w:val="single" w:sz="4" w:space="0" w:color="auto"/>
              <w:left w:val="single" w:sz="4" w:space="0" w:color="auto"/>
              <w:bottom w:val="single" w:sz="4" w:space="0" w:color="auto"/>
              <w:right w:val="single" w:sz="4" w:space="0" w:color="auto"/>
            </w:tcBorders>
            <w:hideMark/>
          </w:tcPr>
          <w:p w14:paraId="162D383F" w14:textId="77777777" w:rsidR="00C4788E" w:rsidRPr="00142313" w:rsidRDefault="00C4788E" w:rsidP="009948A5">
            <w:pPr>
              <w:pStyle w:val="p1"/>
              <w:jc w:val="both"/>
              <w:rPr>
                <w:sz w:val="20"/>
                <w:szCs w:val="20"/>
                <w:lang w:val="uk-UA"/>
              </w:rPr>
            </w:pPr>
            <w:r w:rsidRPr="00142313">
              <w:rPr>
                <w:sz w:val="20"/>
                <w:szCs w:val="20"/>
                <w:lang w:val="uk-UA"/>
              </w:rPr>
              <w:t>12500,00</w:t>
            </w:r>
          </w:p>
        </w:tc>
        <w:tc>
          <w:tcPr>
            <w:tcW w:w="1061" w:type="dxa"/>
            <w:gridSpan w:val="2"/>
            <w:tcBorders>
              <w:top w:val="single" w:sz="4" w:space="0" w:color="auto"/>
              <w:left w:val="single" w:sz="4" w:space="0" w:color="auto"/>
              <w:bottom w:val="single" w:sz="4" w:space="0" w:color="auto"/>
              <w:right w:val="single" w:sz="4" w:space="0" w:color="auto"/>
            </w:tcBorders>
            <w:hideMark/>
          </w:tcPr>
          <w:p w14:paraId="5FD397B6" w14:textId="77777777" w:rsidR="00C4788E" w:rsidRPr="00142313" w:rsidRDefault="00C4788E" w:rsidP="009948A5">
            <w:pPr>
              <w:pStyle w:val="p1"/>
              <w:jc w:val="both"/>
              <w:rPr>
                <w:sz w:val="20"/>
                <w:szCs w:val="20"/>
                <w:lang w:val="uk-UA"/>
              </w:rPr>
            </w:pPr>
            <w:r w:rsidRPr="00142313">
              <w:rPr>
                <w:sz w:val="20"/>
                <w:szCs w:val="20"/>
                <w:lang w:val="uk-UA"/>
              </w:rPr>
              <w:t>21900,00</w:t>
            </w:r>
          </w:p>
        </w:tc>
        <w:tc>
          <w:tcPr>
            <w:tcW w:w="1190" w:type="dxa"/>
            <w:tcBorders>
              <w:top w:val="single" w:sz="4" w:space="0" w:color="auto"/>
              <w:left w:val="single" w:sz="4" w:space="0" w:color="auto"/>
              <w:bottom w:val="single" w:sz="4" w:space="0" w:color="auto"/>
              <w:right w:val="single" w:sz="4" w:space="0" w:color="auto"/>
            </w:tcBorders>
            <w:hideMark/>
          </w:tcPr>
          <w:p w14:paraId="536FFE41" w14:textId="77777777" w:rsidR="00C4788E" w:rsidRPr="00142313" w:rsidRDefault="00C4788E" w:rsidP="009948A5">
            <w:pPr>
              <w:pStyle w:val="p1"/>
              <w:jc w:val="both"/>
              <w:rPr>
                <w:sz w:val="20"/>
                <w:szCs w:val="20"/>
                <w:lang w:val="uk-UA"/>
              </w:rPr>
            </w:pPr>
            <w:r w:rsidRPr="00142313">
              <w:rPr>
                <w:sz w:val="20"/>
                <w:szCs w:val="20"/>
                <w:lang w:val="uk-UA"/>
              </w:rPr>
              <w:t>17500,00</w:t>
            </w:r>
          </w:p>
        </w:tc>
        <w:tc>
          <w:tcPr>
            <w:tcW w:w="1061" w:type="dxa"/>
            <w:tcBorders>
              <w:top w:val="single" w:sz="4" w:space="0" w:color="auto"/>
              <w:left w:val="single" w:sz="4" w:space="0" w:color="auto"/>
              <w:bottom w:val="single" w:sz="4" w:space="0" w:color="auto"/>
              <w:right w:val="single" w:sz="4" w:space="0" w:color="auto"/>
            </w:tcBorders>
            <w:hideMark/>
          </w:tcPr>
          <w:p w14:paraId="0A79D4FD" w14:textId="77777777" w:rsidR="00C4788E" w:rsidRPr="00142313" w:rsidRDefault="00C4788E" w:rsidP="009948A5">
            <w:pPr>
              <w:pStyle w:val="p1"/>
              <w:jc w:val="both"/>
              <w:rPr>
                <w:sz w:val="20"/>
                <w:szCs w:val="20"/>
                <w:lang w:val="uk-UA"/>
              </w:rPr>
            </w:pPr>
            <w:r w:rsidRPr="00142313">
              <w:rPr>
                <w:sz w:val="20"/>
                <w:szCs w:val="20"/>
                <w:lang w:val="uk-UA"/>
              </w:rPr>
              <w:t>21900,00</w:t>
            </w:r>
          </w:p>
        </w:tc>
        <w:tc>
          <w:tcPr>
            <w:tcW w:w="1152" w:type="dxa"/>
            <w:tcBorders>
              <w:top w:val="single" w:sz="4" w:space="0" w:color="auto"/>
              <w:left w:val="single" w:sz="4" w:space="0" w:color="auto"/>
              <w:bottom w:val="single" w:sz="4" w:space="0" w:color="auto"/>
              <w:right w:val="single" w:sz="4" w:space="0" w:color="auto"/>
            </w:tcBorders>
            <w:hideMark/>
          </w:tcPr>
          <w:p w14:paraId="7EECAB6C" w14:textId="1E4622C0" w:rsidR="00C4788E" w:rsidRPr="00F359A3" w:rsidRDefault="00F359A3" w:rsidP="009948A5">
            <w:pPr>
              <w:pStyle w:val="p1"/>
              <w:jc w:val="both"/>
              <w:rPr>
                <w:b/>
                <w:sz w:val="20"/>
                <w:szCs w:val="20"/>
                <w:lang w:val="uk-UA"/>
              </w:rPr>
            </w:pPr>
            <w:r w:rsidRPr="00F359A3">
              <w:rPr>
                <w:b/>
                <w:sz w:val="20"/>
                <w:szCs w:val="20"/>
                <w:lang w:val="uk-UA"/>
              </w:rPr>
              <w:t>0</w:t>
            </w:r>
          </w:p>
        </w:tc>
        <w:tc>
          <w:tcPr>
            <w:tcW w:w="1061" w:type="dxa"/>
            <w:tcBorders>
              <w:top w:val="single" w:sz="4" w:space="0" w:color="auto"/>
              <w:left w:val="single" w:sz="4" w:space="0" w:color="auto"/>
              <w:bottom w:val="single" w:sz="4" w:space="0" w:color="auto"/>
              <w:right w:val="single" w:sz="4" w:space="0" w:color="auto"/>
            </w:tcBorders>
            <w:hideMark/>
          </w:tcPr>
          <w:p w14:paraId="5879534E" w14:textId="77777777" w:rsidR="00C4788E" w:rsidRPr="00142313" w:rsidRDefault="00C4788E" w:rsidP="009948A5">
            <w:pPr>
              <w:pStyle w:val="p1"/>
              <w:jc w:val="both"/>
              <w:rPr>
                <w:sz w:val="20"/>
                <w:szCs w:val="20"/>
                <w:lang w:val="uk-UA"/>
              </w:rPr>
            </w:pPr>
            <w:r w:rsidRPr="00142313">
              <w:rPr>
                <w:sz w:val="20"/>
                <w:szCs w:val="20"/>
                <w:lang w:val="uk-UA"/>
              </w:rPr>
              <w:t>21900,00</w:t>
            </w:r>
          </w:p>
        </w:tc>
        <w:tc>
          <w:tcPr>
            <w:tcW w:w="1166" w:type="dxa"/>
            <w:tcBorders>
              <w:top w:val="single" w:sz="4" w:space="0" w:color="auto"/>
              <w:left w:val="single" w:sz="4" w:space="0" w:color="auto"/>
              <w:bottom w:val="single" w:sz="4" w:space="0" w:color="auto"/>
              <w:right w:val="single" w:sz="4" w:space="0" w:color="auto"/>
            </w:tcBorders>
            <w:hideMark/>
          </w:tcPr>
          <w:p w14:paraId="417DC7F4" w14:textId="1F99C315" w:rsidR="00C4788E" w:rsidRPr="00F359A3" w:rsidRDefault="00F359A3" w:rsidP="009948A5">
            <w:pPr>
              <w:pStyle w:val="p1"/>
              <w:jc w:val="both"/>
              <w:rPr>
                <w:b/>
                <w:sz w:val="20"/>
                <w:szCs w:val="20"/>
                <w:lang w:val="uk-UA"/>
              </w:rPr>
            </w:pPr>
            <w:r w:rsidRPr="00F359A3">
              <w:rPr>
                <w:b/>
                <w:sz w:val="20"/>
                <w:szCs w:val="20"/>
                <w:lang w:val="uk-UA"/>
              </w:rPr>
              <w:t>95700,0</w:t>
            </w:r>
          </w:p>
        </w:tc>
      </w:tr>
      <w:tr w:rsidR="00C4788E" w14:paraId="0054EDC7"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1283A0F8" w14:textId="77777777" w:rsidR="00C4788E" w:rsidRDefault="00C4788E" w:rsidP="009948A5">
            <w:pPr>
              <w:pStyle w:val="p1"/>
              <w:jc w:val="both"/>
              <w:rPr>
                <w:b/>
                <w:sz w:val="20"/>
                <w:szCs w:val="20"/>
                <w:lang w:val="uk-UA"/>
              </w:rPr>
            </w:pPr>
            <w:r>
              <w:rPr>
                <w:sz w:val="20"/>
                <w:szCs w:val="20"/>
                <w:lang w:val="uk-UA"/>
              </w:rPr>
              <w:t>Обсяг ресурсів на 2022-2024 роки для забезпечення виплати грошової компенсації на бензин, ремонт і технічне обслуговування автомобілів та транспортне обслуговування</w:t>
            </w:r>
          </w:p>
        </w:tc>
        <w:tc>
          <w:tcPr>
            <w:tcW w:w="966" w:type="dxa"/>
            <w:tcBorders>
              <w:top w:val="single" w:sz="4" w:space="0" w:color="auto"/>
              <w:left w:val="single" w:sz="4" w:space="0" w:color="auto"/>
              <w:bottom w:val="single" w:sz="4" w:space="0" w:color="auto"/>
              <w:right w:val="single" w:sz="4" w:space="0" w:color="auto"/>
            </w:tcBorders>
            <w:hideMark/>
          </w:tcPr>
          <w:p w14:paraId="5EC3171E" w14:textId="77777777" w:rsidR="00C4788E" w:rsidRPr="00142313" w:rsidRDefault="00C4788E" w:rsidP="009948A5">
            <w:pPr>
              <w:pStyle w:val="p1"/>
              <w:jc w:val="both"/>
              <w:rPr>
                <w:sz w:val="20"/>
                <w:szCs w:val="20"/>
                <w:lang w:val="uk-UA"/>
              </w:rPr>
            </w:pPr>
            <w:r w:rsidRPr="00142313">
              <w:rPr>
                <w:sz w:val="20"/>
                <w:szCs w:val="20"/>
                <w:lang w:val="uk-UA"/>
              </w:rPr>
              <w:t>10400,00</w:t>
            </w:r>
          </w:p>
        </w:tc>
        <w:tc>
          <w:tcPr>
            <w:tcW w:w="1061" w:type="dxa"/>
            <w:gridSpan w:val="2"/>
            <w:tcBorders>
              <w:top w:val="single" w:sz="4" w:space="0" w:color="auto"/>
              <w:left w:val="single" w:sz="4" w:space="0" w:color="auto"/>
              <w:bottom w:val="single" w:sz="4" w:space="0" w:color="auto"/>
              <w:right w:val="single" w:sz="4" w:space="0" w:color="auto"/>
            </w:tcBorders>
            <w:hideMark/>
          </w:tcPr>
          <w:p w14:paraId="7D5ACF9B" w14:textId="77777777" w:rsidR="00C4788E" w:rsidRPr="00142313" w:rsidRDefault="00C4788E" w:rsidP="009948A5">
            <w:pPr>
              <w:pStyle w:val="p1"/>
              <w:jc w:val="both"/>
              <w:rPr>
                <w:sz w:val="20"/>
                <w:szCs w:val="20"/>
                <w:lang w:val="uk-UA"/>
              </w:rPr>
            </w:pPr>
            <w:r w:rsidRPr="00142313">
              <w:rPr>
                <w:sz w:val="20"/>
                <w:szCs w:val="20"/>
                <w:lang w:val="uk-UA"/>
              </w:rPr>
              <w:t>21100,00</w:t>
            </w:r>
          </w:p>
        </w:tc>
        <w:tc>
          <w:tcPr>
            <w:tcW w:w="1190" w:type="dxa"/>
            <w:tcBorders>
              <w:top w:val="single" w:sz="4" w:space="0" w:color="auto"/>
              <w:left w:val="single" w:sz="4" w:space="0" w:color="auto"/>
              <w:bottom w:val="single" w:sz="4" w:space="0" w:color="auto"/>
              <w:right w:val="single" w:sz="4" w:space="0" w:color="auto"/>
            </w:tcBorders>
            <w:hideMark/>
          </w:tcPr>
          <w:p w14:paraId="1FDB7B3A" w14:textId="77777777" w:rsidR="00C4788E" w:rsidRPr="00142313" w:rsidRDefault="00C4788E" w:rsidP="009948A5">
            <w:pPr>
              <w:pStyle w:val="p1"/>
              <w:jc w:val="both"/>
              <w:rPr>
                <w:sz w:val="20"/>
                <w:szCs w:val="20"/>
                <w:lang w:val="uk-UA"/>
              </w:rPr>
            </w:pPr>
            <w:r w:rsidRPr="00142313">
              <w:rPr>
                <w:sz w:val="20"/>
                <w:szCs w:val="20"/>
                <w:lang w:val="uk-UA"/>
              </w:rPr>
              <w:t>11835,00</w:t>
            </w:r>
          </w:p>
        </w:tc>
        <w:tc>
          <w:tcPr>
            <w:tcW w:w="1061" w:type="dxa"/>
            <w:tcBorders>
              <w:top w:val="single" w:sz="4" w:space="0" w:color="auto"/>
              <w:left w:val="single" w:sz="4" w:space="0" w:color="auto"/>
              <w:bottom w:val="single" w:sz="4" w:space="0" w:color="auto"/>
              <w:right w:val="single" w:sz="4" w:space="0" w:color="auto"/>
            </w:tcBorders>
            <w:hideMark/>
          </w:tcPr>
          <w:p w14:paraId="421314BF" w14:textId="77777777" w:rsidR="00C4788E" w:rsidRPr="00142313" w:rsidRDefault="00C4788E" w:rsidP="009948A5">
            <w:pPr>
              <w:pStyle w:val="p1"/>
              <w:jc w:val="both"/>
              <w:rPr>
                <w:sz w:val="20"/>
                <w:szCs w:val="20"/>
                <w:lang w:val="uk-UA"/>
              </w:rPr>
            </w:pPr>
            <w:r w:rsidRPr="00142313">
              <w:rPr>
                <w:sz w:val="20"/>
                <w:szCs w:val="20"/>
                <w:lang w:val="uk-UA"/>
              </w:rPr>
              <w:t>21100,00</w:t>
            </w:r>
          </w:p>
        </w:tc>
        <w:tc>
          <w:tcPr>
            <w:tcW w:w="1152" w:type="dxa"/>
            <w:tcBorders>
              <w:top w:val="single" w:sz="4" w:space="0" w:color="auto"/>
              <w:left w:val="single" w:sz="4" w:space="0" w:color="auto"/>
              <w:bottom w:val="single" w:sz="4" w:space="0" w:color="auto"/>
              <w:right w:val="single" w:sz="4" w:space="0" w:color="auto"/>
            </w:tcBorders>
            <w:hideMark/>
          </w:tcPr>
          <w:p w14:paraId="710FB176" w14:textId="3809DC4D" w:rsidR="00C4788E" w:rsidRPr="00F359A3" w:rsidRDefault="00F359A3" w:rsidP="009948A5">
            <w:pPr>
              <w:pStyle w:val="p1"/>
              <w:jc w:val="both"/>
              <w:rPr>
                <w:b/>
                <w:sz w:val="20"/>
                <w:szCs w:val="20"/>
                <w:lang w:val="uk-UA"/>
              </w:rPr>
            </w:pPr>
            <w:r w:rsidRPr="00F359A3">
              <w:rPr>
                <w:b/>
                <w:sz w:val="20"/>
                <w:szCs w:val="20"/>
                <w:lang w:val="uk-UA"/>
              </w:rPr>
              <w:t>12400,00</w:t>
            </w:r>
          </w:p>
        </w:tc>
        <w:tc>
          <w:tcPr>
            <w:tcW w:w="1061" w:type="dxa"/>
            <w:tcBorders>
              <w:top w:val="single" w:sz="4" w:space="0" w:color="auto"/>
              <w:left w:val="single" w:sz="4" w:space="0" w:color="auto"/>
              <w:bottom w:val="single" w:sz="4" w:space="0" w:color="auto"/>
              <w:right w:val="single" w:sz="4" w:space="0" w:color="auto"/>
            </w:tcBorders>
            <w:hideMark/>
          </w:tcPr>
          <w:p w14:paraId="0217E00D" w14:textId="77777777" w:rsidR="00C4788E" w:rsidRPr="00142313" w:rsidRDefault="00C4788E" w:rsidP="009948A5">
            <w:pPr>
              <w:pStyle w:val="p1"/>
              <w:jc w:val="both"/>
              <w:rPr>
                <w:sz w:val="20"/>
                <w:szCs w:val="20"/>
                <w:lang w:val="uk-UA"/>
              </w:rPr>
            </w:pPr>
            <w:r w:rsidRPr="00142313">
              <w:rPr>
                <w:sz w:val="20"/>
                <w:szCs w:val="20"/>
                <w:lang w:val="uk-UA"/>
              </w:rPr>
              <w:t>16825,00</w:t>
            </w:r>
          </w:p>
        </w:tc>
        <w:tc>
          <w:tcPr>
            <w:tcW w:w="1166" w:type="dxa"/>
            <w:tcBorders>
              <w:top w:val="single" w:sz="4" w:space="0" w:color="auto"/>
              <w:left w:val="single" w:sz="4" w:space="0" w:color="auto"/>
              <w:bottom w:val="single" w:sz="4" w:space="0" w:color="auto"/>
              <w:right w:val="single" w:sz="4" w:space="0" w:color="auto"/>
            </w:tcBorders>
            <w:hideMark/>
          </w:tcPr>
          <w:p w14:paraId="68FB00A7" w14:textId="7054FB2A" w:rsidR="00C4788E" w:rsidRPr="00F359A3" w:rsidRDefault="00C4788E" w:rsidP="00F359A3">
            <w:pPr>
              <w:pStyle w:val="p1"/>
              <w:jc w:val="both"/>
              <w:rPr>
                <w:b/>
                <w:sz w:val="20"/>
                <w:szCs w:val="20"/>
                <w:lang w:val="uk-UA"/>
              </w:rPr>
            </w:pPr>
            <w:r w:rsidRPr="00F359A3">
              <w:rPr>
                <w:b/>
                <w:sz w:val="20"/>
                <w:szCs w:val="20"/>
                <w:lang w:val="uk-UA"/>
              </w:rPr>
              <w:t>9</w:t>
            </w:r>
            <w:r w:rsidR="00F359A3" w:rsidRPr="00F359A3">
              <w:rPr>
                <w:b/>
                <w:sz w:val="20"/>
                <w:szCs w:val="20"/>
                <w:lang w:val="uk-UA"/>
              </w:rPr>
              <w:t>3660</w:t>
            </w:r>
            <w:r w:rsidRPr="00F359A3">
              <w:rPr>
                <w:b/>
                <w:sz w:val="20"/>
                <w:szCs w:val="20"/>
                <w:lang w:val="uk-UA"/>
              </w:rPr>
              <w:t>,00</w:t>
            </w:r>
          </w:p>
        </w:tc>
      </w:tr>
      <w:tr w:rsidR="00C4788E" w14:paraId="07E335E5" w14:textId="77777777" w:rsidTr="009948A5">
        <w:trPr>
          <w:trHeight w:val="2112"/>
        </w:trPr>
        <w:tc>
          <w:tcPr>
            <w:tcW w:w="2657" w:type="dxa"/>
            <w:tcBorders>
              <w:top w:val="single" w:sz="4" w:space="0" w:color="auto"/>
              <w:left w:val="single" w:sz="4" w:space="0" w:color="auto"/>
              <w:bottom w:val="single" w:sz="4" w:space="0" w:color="auto"/>
              <w:right w:val="single" w:sz="4" w:space="0" w:color="auto"/>
            </w:tcBorders>
            <w:hideMark/>
          </w:tcPr>
          <w:p w14:paraId="55328D02" w14:textId="77777777" w:rsidR="00C4788E" w:rsidRDefault="00C4788E" w:rsidP="009948A5">
            <w:pPr>
              <w:pStyle w:val="p1"/>
              <w:jc w:val="both"/>
              <w:rPr>
                <w:b/>
                <w:sz w:val="20"/>
                <w:szCs w:val="20"/>
                <w:lang w:val="uk-UA"/>
              </w:rPr>
            </w:pPr>
            <w:r>
              <w:rPr>
                <w:sz w:val="20"/>
                <w:szCs w:val="20"/>
                <w:lang w:val="uk-UA"/>
              </w:rPr>
              <w:t xml:space="preserve">Обсяг ресурсів на 2022-2024 роки для забезпечення виплати грошової компенсації за проїзд один раз на рік до будь-якого пункту України і назад автомобільним або повітряним, або залізничним, або водним транспортом відповідно до Закону України </w:t>
            </w:r>
            <w:r>
              <w:rPr>
                <w:bCs/>
                <w:sz w:val="20"/>
                <w:szCs w:val="20"/>
                <w:lang w:val="uk-UA"/>
              </w:rPr>
              <w:t xml:space="preserve">«Про статус і соціальний захист громадян, які </w:t>
            </w:r>
            <w:r>
              <w:rPr>
                <w:sz w:val="20"/>
                <w:szCs w:val="20"/>
                <w:lang w:val="uk-UA"/>
              </w:rPr>
              <w:t xml:space="preserve">постраждали внаслідок </w:t>
            </w:r>
            <w:r>
              <w:rPr>
                <w:sz w:val="20"/>
                <w:szCs w:val="20"/>
                <w:lang w:val="uk-UA"/>
              </w:rPr>
              <w:lastRenderedPageBreak/>
              <w:t>Чорнобильської катастрофи»</w:t>
            </w:r>
          </w:p>
        </w:tc>
        <w:tc>
          <w:tcPr>
            <w:tcW w:w="995" w:type="dxa"/>
            <w:gridSpan w:val="2"/>
            <w:tcBorders>
              <w:top w:val="single" w:sz="4" w:space="0" w:color="auto"/>
              <w:left w:val="single" w:sz="4" w:space="0" w:color="auto"/>
              <w:bottom w:val="single" w:sz="4" w:space="0" w:color="auto"/>
              <w:right w:val="single" w:sz="4" w:space="0" w:color="auto"/>
            </w:tcBorders>
            <w:hideMark/>
          </w:tcPr>
          <w:p w14:paraId="0F587BE5" w14:textId="77777777" w:rsidR="00C4788E" w:rsidRPr="00142313" w:rsidRDefault="00C4788E" w:rsidP="009948A5">
            <w:pPr>
              <w:pStyle w:val="p1"/>
              <w:jc w:val="both"/>
              <w:rPr>
                <w:sz w:val="20"/>
                <w:szCs w:val="20"/>
                <w:lang w:val="uk-UA"/>
              </w:rPr>
            </w:pPr>
            <w:r w:rsidRPr="00142313">
              <w:rPr>
                <w:sz w:val="20"/>
                <w:szCs w:val="20"/>
                <w:lang w:val="uk-UA"/>
              </w:rPr>
              <w:lastRenderedPageBreak/>
              <w:t>2500,00</w:t>
            </w:r>
          </w:p>
        </w:tc>
        <w:tc>
          <w:tcPr>
            <w:tcW w:w="1032" w:type="dxa"/>
            <w:tcBorders>
              <w:top w:val="single" w:sz="4" w:space="0" w:color="auto"/>
              <w:left w:val="single" w:sz="4" w:space="0" w:color="auto"/>
              <w:bottom w:val="single" w:sz="4" w:space="0" w:color="auto"/>
              <w:right w:val="single" w:sz="4" w:space="0" w:color="auto"/>
            </w:tcBorders>
            <w:hideMark/>
          </w:tcPr>
          <w:p w14:paraId="5095ACD9"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1914E490" w14:textId="77777777" w:rsidR="00C4788E" w:rsidRPr="00142313" w:rsidRDefault="00C4788E" w:rsidP="009948A5">
            <w:pPr>
              <w:pStyle w:val="p1"/>
              <w:jc w:val="both"/>
              <w:rPr>
                <w:sz w:val="20"/>
                <w:szCs w:val="20"/>
                <w:lang w:val="uk-UA"/>
              </w:rPr>
            </w:pPr>
            <w:r w:rsidRPr="00142313">
              <w:rPr>
                <w:sz w:val="20"/>
                <w:szCs w:val="20"/>
                <w:lang w:val="uk-UA"/>
              </w:rPr>
              <w:t>2500,00</w:t>
            </w:r>
          </w:p>
        </w:tc>
        <w:tc>
          <w:tcPr>
            <w:tcW w:w="1061" w:type="dxa"/>
            <w:tcBorders>
              <w:top w:val="single" w:sz="4" w:space="0" w:color="auto"/>
              <w:left w:val="single" w:sz="4" w:space="0" w:color="auto"/>
              <w:bottom w:val="single" w:sz="4" w:space="0" w:color="auto"/>
              <w:right w:val="single" w:sz="4" w:space="0" w:color="auto"/>
            </w:tcBorders>
            <w:hideMark/>
          </w:tcPr>
          <w:p w14:paraId="51913916"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4B47D37D" w14:textId="6D5FD2A6" w:rsidR="00C4788E" w:rsidRPr="00C4788E" w:rsidRDefault="00C4788E" w:rsidP="009948A5">
            <w:pPr>
              <w:pStyle w:val="p1"/>
              <w:jc w:val="both"/>
              <w:rPr>
                <w:b/>
                <w:sz w:val="20"/>
                <w:szCs w:val="20"/>
                <w:lang w:val="uk-UA"/>
              </w:rPr>
            </w:pPr>
            <w:r w:rsidRPr="00C4788E">
              <w:rPr>
                <w:b/>
                <w:sz w:val="20"/>
                <w:szCs w:val="20"/>
                <w:lang w:val="uk-UA"/>
              </w:rPr>
              <w:t>0</w:t>
            </w:r>
          </w:p>
        </w:tc>
        <w:tc>
          <w:tcPr>
            <w:tcW w:w="1061" w:type="dxa"/>
            <w:tcBorders>
              <w:top w:val="single" w:sz="4" w:space="0" w:color="auto"/>
              <w:left w:val="single" w:sz="4" w:space="0" w:color="auto"/>
              <w:bottom w:val="single" w:sz="4" w:space="0" w:color="auto"/>
              <w:right w:val="single" w:sz="4" w:space="0" w:color="auto"/>
            </w:tcBorders>
            <w:hideMark/>
          </w:tcPr>
          <w:p w14:paraId="1D893BBA"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34C515D4" w14:textId="7972ABAE" w:rsidR="00C4788E" w:rsidRPr="00C4788E" w:rsidRDefault="00C4788E" w:rsidP="00C4788E">
            <w:pPr>
              <w:pStyle w:val="p1"/>
              <w:jc w:val="both"/>
              <w:rPr>
                <w:b/>
                <w:sz w:val="20"/>
                <w:szCs w:val="20"/>
                <w:lang w:val="uk-UA"/>
              </w:rPr>
            </w:pPr>
            <w:r w:rsidRPr="00C4788E">
              <w:rPr>
                <w:b/>
                <w:sz w:val="20"/>
                <w:szCs w:val="20"/>
                <w:lang w:val="uk-UA"/>
              </w:rPr>
              <w:t>5000,00</w:t>
            </w:r>
          </w:p>
        </w:tc>
      </w:tr>
      <w:tr w:rsidR="00C4788E" w:rsidRPr="00C4788E" w14:paraId="77BB9C94"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3297376F" w14:textId="77777777" w:rsidR="00C4788E" w:rsidRDefault="00C4788E" w:rsidP="009948A5">
            <w:pPr>
              <w:pStyle w:val="p1"/>
              <w:jc w:val="both"/>
              <w:rPr>
                <w:b/>
                <w:sz w:val="20"/>
                <w:szCs w:val="20"/>
                <w:lang w:val="uk-UA"/>
              </w:rPr>
            </w:pPr>
            <w:r>
              <w:rPr>
                <w:sz w:val="20"/>
                <w:szCs w:val="20"/>
                <w:lang w:val="uk-UA"/>
              </w:rPr>
              <w:t>Обсяг ресурсів на 2022-2024 роки для забезпечення медичного обслуговування осіб, які постраждали внаслідок Чорнобильської катастрофи</w:t>
            </w:r>
          </w:p>
        </w:tc>
        <w:tc>
          <w:tcPr>
            <w:tcW w:w="995" w:type="dxa"/>
            <w:gridSpan w:val="2"/>
            <w:tcBorders>
              <w:top w:val="single" w:sz="4" w:space="0" w:color="auto"/>
              <w:left w:val="single" w:sz="4" w:space="0" w:color="auto"/>
              <w:bottom w:val="single" w:sz="4" w:space="0" w:color="auto"/>
              <w:right w:val="single" w:sz="4" w:space="0" w:color="auto"/>
            </w:tcBorders>
            <w:hideMark/>
          </w:tcPr>
          <w:p w14:paraId="6E365B5D" w14:textId="77777777" w:rsidR="00C4788E" w:rsidRPr="00142313" w:rsidRDefault="00C4788E" w:rsidP="009948A5">
            <w:pPr>
              <w:pStyle w:val="p1"/>
              <w:jc w:val="both"/>
              <w:rPr>
                <w:sz w:val="20"/>
                <w:szCs w:val="20"/>
                <w:lang w:val="uk-UA"/>
              </w:rPr>
            </w:pPr>
            <w:r w:rsidRPr="00142313">
              <w:rPr>
                <w:sz w:val="20"/>
                <w:szCs w:val="20"/>
                <w:lang w:val="uk-UA"/>
              </w:rPr>
              <w:t>85000,00</w:t>
            </w:r>
          </w:p>
        </w:tc>
        <w:tc>
          <w:tcPr>
            <w:tcW w:w="1032" w:type="dxa"/>
            <w:tcBorders>
              <w:top w:val="single" w:sz="4" w:space="0" w:color="auto"/>
              <w:left w:val="single" w:sz="4" w:space="0" w:color="auto"/>
              <w:bottom w:val="single" w:sz="4" w:space="0" w:color="auto"/>
              <w:right w:val="single" w:sz="4" w:space="0" w:color="auto"/>
            </w:tcBorders>
            <w:hideMark/>
          </w:tcPr>
          <w:p w14:paraId="365BE7E9" w14:textId="77777777" w:rsidR="00C4788E" w:rsidRPr="00142313" w:rsidRDefault="00C4788E" w:rsidP="009948A5">
            <w:pPr>
              <w:pStyle w:val="p1"/>
              <w:jc w:val="both"/>
              <w:rPr>
                <w:sz w:val="20"/>
                <w:szCs w:val="20"/>
                <w:lang w:val="uk-UA"/>
              </w:rPr>
            </w:pPr>
            <w:r w:rsidRPr="00142313">
              <w:rPr>
                <w:sz w:val="20"/>
                <w:szCs w:val="20"/>
                <w:lang w:val="uk-UA"/>
              </w:rPr>
              <w:t>22100,00</w:t>
            </w:r>
          </w:p>
        </w:tc>
        <w:tc>
          <w:tcPr>
            <w:tcW w:w="1190" w:type="dxa"/>
            <w:tcBorders>
              <w:top w:val="single" w:sz="4" w:space="0" w:color="auto"/>
              <w:left w:val="single" w:sz="4" w:space="0" w:color="auto"/>
              <w:bottom w:val="single" w:sz="4" w:space="0" w:color="auto"/>
              <w:right w:val="single" w:sz="4" w:space="0" w:color="auto"/>
            </w:tcBorders>
            <w:hideMark/>
          </w:tcPr>
          <w:p w14:paraId="7EDCA97C" w14:textId="77777777" w:rsidR="00C4788E" w:rsidRPr="00142313" w:rsidRDefault="00C4788E" w:rsidP="009948A5">
            <w:pPr>
              <w:pStyle w:val="p1"/>
              <w:jc w:val="both"/>
              <w:rPr>
                <w:sz w:val="20"/>
                <w:szCs w:val="20"/>
                <w:lang w:val="uk-UA"/>
              </w:rPr>
            </w:pPr>
            <w:r w:rsidRPr="00142313">
              <w:rPr>
                <w:sz w:val="20"/>
                <w:szCs w:val="20"/>
                <w:lang w:val="uk-UA"/>
              </w:rPr>
              <w:t>107900,00</w:t>
            </w:r>
          </w:p>
        </w:tc>
        <w:tc>
          <w:tcPr>
            <w:tcW w:w="1061" w:type="dxa"/>
            <w:tcBorders>
              <w:top w:val="single" w:sz="4" w:space="0" w:color="auto"/>
              <w:left w:val="single" w:sz="4" w:space="0" w:color="auto"/>
              <w:bottom w:val="single" w:sz="4" w:space="0" w:color="auto"/>
              <w:right w:val="single" w:sz="4" w:space="0" w:color="auto"/>
            </w:tcBorders>
            <w:hideMark/>
          </w:tcPr>
          <w:p w14:paraId="725F0410" w14:textId="77777777" w:rsidR="00C4788E" w:rsidRPr="00142313" w:rsidRDefault="00C4788E" w:rsidP="009948A5">
            <w:pPr>
              <w:pStyle w:val="p1"/>
              <w:jc w:val="both"/>
              <w:rPr>
                <w:sz w:val="20"/>
                <w:szCs w:val="20"/>
                <w:lang w:val="uk-UA"/>
              </w:rPr>
            </w:pPr>
            <w:r w:rsidRPr="00142313">
              <w:rPr>
                <w:sz w:val="20"/>
                <w:szCs w:val="20"/>
                <w:lang w:val="uk-UA"/>
              </w:rPr>
              <w:t>22100,00</w:t>
            </w:r>
          </w:p>
        </w:tc>
        <w:tc>
          <w:tcPr>
            <w:tcW w:w="1152" w:type="dxa"/>
            <w:tcBorders>
              <w:top w:val="single" w:sz="4" w:space="0" w:color="auto"/>
              <w:left w:val="single" w:sz="4" w:space="0" w:color="auto"/>
              <w:bottom w:val="single" w:sz="4" w:space="0" w:color="auto"/>
              <w:right w:val="single" w:sz="4" w:space="0" w:color="auto"/>
            </w:tcBorders>
            <w:hideMark/>
          </w:tcPr>
          <w:p w14:paraId="422BCA21" w14:textId="77777777" w:rsidR="00C4788E" w:rsidRPr="00C4788E" w:rsidRDefault="00C4788E" w:rsidP="009948A5">
            <w:pPr>
              <w:pStyle w:val="p1"/>
              <w:jc w:val="both"/>
              <w:rPr>
                <w:sz w:val="20"/>
                <w:szCs w:val="20"/>
                <w:lang w:val="uk-UA"/>
              </w:rPr>
            </w:pPr>
            <w:r w:rsidRPr="00C4788E">
              <w:rPr>
                <w:sz w:val="20"/>
                <w:szCs w:val="20"/>
                <w:lang w:val="uk-UA"/>
              </w:rPr>
              <w:t>160000,00</w:t>
            </w:r>
          </w:p>
        </w:tc>
        <w:tc>
          <w:tcPr>
            <w:tcW w:w="1061" w:type="dxa"/>
            <w:tcBorders>
              <w:top w:val="single" w:sz="4" w:space="0" w:color="auto"/>
              <w:left w:val="single" w:sz="4" w:space="0" w:color="auto"/>
              <w:bottom w:val="single" w:sz="4" w:space="0" w:color="auto"/>
              <w:right w:val="single" w:sz="4" w:space="0" w:color="auto"/>
            </w:tcBorders>
            <w:hideMark/>
          </w:tcPr>
          <w:p w14:paraId="24F6389E" w14:textId="77777777" w:rsidR="00C4788E" w:rsidRPr="00C4788E" w:rsidRDefault="00C4788E" w:rsidP="009948A5">
            <w:pPr>
              <w:pStyle w:val="p1"/>
              <w:jc w:val="both"/>
              <w:rPr>
                <w:sz w:val="20"/>
                <w:szCs w:val="20"/>
                <w:lang w:val="uk-UA"/>
              </w:rPr>
            </w:pPr>
            <w:r w:rsidRPr="00C4788E">
              <w:rPr>
                <w:sz w:val="20"/>
                <w:szCs w:val="20"/>
                <w:lang w:val="uk-UA"/>
              </w:rPr>
              <w:t>26375,00</w:t>
            </w:r>
          </w:p>
        </w:tc>
        <w:tc>
          <w:tcPr>
            <w:tcW w:w="1166" w:type="dxa"/>
            <w:tcBorders>
              <w:top w:val="single" w:sz="4" w:space="0" w:color="auto"/>
              <w:left w:val="single" w:sz="4" w:space="0" w:color="auto"/>
              <w:bottom w:val="single" w:sz="4" w:space="0" w:color="auto"/>
              <w:right w:val="single" w:sz="4" w:space="0" w:color="auto"/>
            </w:tcBorders>
            <w:hideMark/>
          </w:tcPr>
          <w:p w14:paraId="14E6DD11" w14:textId="77777777" w:rsidR="00C4788E" w:rsidRPr="00C4788E" w:rsidRDefault="00C4788E" w:rsidP="009948A5">
            <w:pPr>
              <w:pStyle w:val="p1"/>
              <w:jc w:val="both"/>
              <w:rPr>
                <w:sz w:val="20"/>
                <w:szCs w:val="20"/>
                <w:lang w:val="uk-UA"/>
              </w:rPr>
            </w:pPr>
            <w:r w:rsidRPr="00C4788E">
              <w:rPr>
                <w:sz w:val="20"/>
                <w:szCs w:val="20"/>
                <w:lang w:val="uk-UA"/>
              </w:rPr>
              <w:t>423475,00</w:t>
            </w:r>
          </w:p>
        </w:tc>
      </w:tr>
      <w:tr w:rsidR="00C4788E" w14:paraId="46B76CD5"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7372DDF0" w14:textId="77777777" w:rsidR="00C4788E" w:rsidRDefault="00C4788E" w:rsidP="009948A5">
            <w:pPr>
              <w:pStyle w:val="p1"/>
              <w:jc w:val="both"/>
              <w:rPr>
                <w:b/>
                <w:sz w:val="20"/>
                <w:szCs w:val="20"/>
                <w:lang w:val="uk-UA"/>
              </w:rPr>
            </w:pPr>
            <w:r>
              <w:rPr>
                <w:sz w:val="20"/>
                <w:szCs w:val="20"/>
                <w:lang w:val="uk-UA"/>
              </w:rPr>
              <w:t>Обсяг ресурсів на 2022-2024 роки для забезпечення компенсації за пільговий проїзд на внутрішніх лініях  залізничним транспортом у приміському сполученні</w:t>
            </w:r>
          </w:p>
        </w:tc>
        <w:tc>
          <w:tcPr>
            <w:tcW w:w="995" w:type="dxa"/>
            <w:gridSpan w:val="2"/>
            <w:tcBorders>
              <w:top w:val="single" w:sz="4" w:space="0" w:color="auto"/>
              <w:left w:val="single" w:sz="4" w:space="0" w:color="auto"/>
              <w:bottom w:val="single" w:sz="4" w:space="0" w:color="auto"/>
              <w:right w:val="single" w:sz="4" w:space="0" w:color="auto"/>
            </w:tcBorders>
            <w:hideMark/>
          </w:tcPr>
          <w:p w14:paraId="18B929EA" w14:textId="77777777" w:rsidR="00C4788E" w:rsidRPr="00142313" w:rsidRDefault="00C4788E" w:rsidP="009948A5">
            <w:pPr>
              <w:pStyle w:val="p1"/>
              <w:jc w:val="both"/>
              <w:rPr>
                <w:sz w:val="20"/>
                <w:szCs w:val="20"/>
                <w:lang w:val="uk-UA"/>
              </w:rPr>
            </w:pPr>
            <w:r w:rsidRPr="00142313">
              <w:rPr>
                <w:sz w:val="20"/>
                <w:szCs w:val="20"/>
                <w:lang w:val="en-US"/>
              </w:rPr>
              <w:t>1000000</w:t>
            </w:r>
            <w:r w:rsidRPr="00142313">
              <w:rPr>
                <w:sz w:val="20"/>
                <w:szCs w:val="20"/>
                <w:lang w:val="uk-UA"/>
              </w:rPr>
              <w:t>,00</w:t>
            </w:r>
          </w:p>
        </w:tc>
        <w:tc>
          <w:tcPr>
            <w:tcW w:w="1032" w:type="dxa"/>
            <w:tcBorders>
              <w:top w:val="single" w:sz="4" w:space="0" w:color="auto"/>
              <w:left w:val="single" w:sz="4" w:space="0" w:color="auto"/>
              <w:bottom w:val="single" w:sz="4" w:space="0" w:color="auto"/>
              <w:right w:val="single" w:sz="4" w:space="0" w:color="auto"/>
            </w:tcBorders>
            <w:hideMark/>
          </w:tcPr>
          <w:p w14:paraId="1289B4E0"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47ECB810" w14:textId="77777777" w:rsidR="00C4788E" w:rsidRPr="00142313" w:rsidRDefault="00C4788E" w:rsidP="009948A5">
            <w:pPr>
              <w:pStyle w:val="p1"/>
              <w:jc w:val="both"/>
              <w:rPr>
                <w:sz w:val="20"/>
                <w:szCs w:val="20"/>
                <w:lang w:val="uk-UA"/>
              </w:rPr>
            </w:pPr>
            <w:r w:rsidRPr="00142313">
              <w:rPr>
                <w:sz w:val="20"/>
                <w:szCs w:val="20"/>
                <w:lang w:val="en-US"/>
              </w:rPr>
              <w:t>1</w:t>
            </w:r>
            <w:r w:rsidRPr="00142313">
              <w:rPr>
                <w:sz w:val="20"/>
                <w:szCs w:val="20"/>
                <w:lang w:val="uk-UA"/>
              </w:rPr>
              <w:t>007000,00</w:t>
            </w:r>
          </w:p>
        </w:tc>
        <w:tc>
          <w:tcPr>
            <w:tcW w:w="1061" w:type="dxa"/>
            <w:tcBorders>
              <w:top w:val="single" w:sz="4" w:space="0" w:color="auto"/>
              <w:left w:val="single" w:sz="4" w:space="0" w:color="auto"/>
              <w:bottom w:val="single" w:sz="4" w:space="0" w:color="auto"/>
              <w:right w:val="single" w:sz="4" w:space="0" w:color="auto"/>
            </w:tcBorders>
            <w:hideMark/>
          </w:tcPr>
          <w:p w14:paraId="5F5E0A9D"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35CA09D8"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061" w:type="dxa"/>
            <w:tcBorders>
              <w:top w:val="single" w:sz="4" w:space="0" w:color="auto"/>
              <w:left w:val="single" w:sz="4" w:space="0" w:color="auto"/>
              <w:bottom w:val="single" w:sz="4" w:space="0" w:color="auto"/>
              <w:right w:val="single" w:sz="4" w:space="0" w:color="auto"/>
            </w:tcBorders>
            <w:hideMark/>
          </w:tcPr>
          <w:p w14:paraId="22E87106"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4A44A695" w14:textId="77777777" w:rsidR="00C4788E" w:rsidRPr="00142313" w:rsidRDefault="00C4788E" w:rsidP="009948A5">
            <w:pPr>
              <w:pStyle w:val="p1"/>
              <w:jc w:val="both"/>
              <w:rPr>
                <w:sz w:val="20"/>
                <w:szCs w:val="20"/>
                <w:lang w:val="uk-UA"/>
              </w:rPr>
            </w:pPr>
            <w:r w:rsidRPr="00142313">
              <w:rPr>
                <w:sz w:val="20"/>
                <w:szCs w:val="20"/>
                <w:lang w:val="en-US"/>
              </w:rPr>
              <w:t>2</w:t>
            </w:r>
            <w:r w:rsidRPr="00142313">
              <w:rPr>
                <w:sz w:val="20"/>
                <w:szCs w:val="20"/>
                <w:lang w:val="uk-UA"/>
              </w:rPr>
              <w:t>0</w:t>
            </w:r>
            <w:r w:rsidRPr="00142313">
              <w:rPr>
                <w:sz w:val="20"/>
                <w:szCs w:val="20"/>
                <w:lang w:val="en-US"/>
              </w:rPr>
              <w:t>07</w:t>
            </w:r>
            <w:r w:rsidRPr="00142313">
              <w:rPr>
                <w:sz w:val="20"/>
                <w:szCs w:val="20"/>
                <w:lang w:val="uk-UA"/>
              </w:rPr>
              <w:t>000,00</w:t>
            </w:r>
          </w:p>
        </w:tc>
      </w:tr>
      <w:tr w:rsidR="00C4788E" w14:paraId="6189C4BC"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05D704E5" w14:textId="77777777" w:rsidR="00C4788E" w:rsidRDefault="00C4788E" w:rsidP="009948A5">
            <w:pPr>
              <w:pStyle w:val="p1"/>
              <w:jc w:val="both"/>
              <w:rPr>
                <w:b/>
                <w:sz w:val="20"/>
                <w:szCs w:val="20"/>
                <w:lang w:val="uk-UA"/>
              </w:rPr>
            </w:pPr>
            <w:r>
              <w:rPr>
                <w:sz w:val="20"/>
                <w:szCs w:val="20"/>
                <w:lang w:val="uk-UA"/>
              </w:rPr>
              <w:t>Обсяг ресурсів на 2022-2024 роки відшкодування компенсації за перевезення окремих пільгових категорій громадян на приміських та міських   маршрутах загального користування автомобільним транспортом</w:t>
            </w:r>
          </w:p>
        </w:tc>
        <w:tc>
          <w:tcPr>
            <w:tcW w:w="995" w:type="dxa"/>
            <w:gridSpan w:val="2"/>
            <w:tcBorders>
              <w:top w:val="single" w:sz="4" w:space="0" w:color="auto"/>
              <w:left w:val="single" w:sz="4" w:space="0" w:color="auto"/>
              <w:bottom w:val="single" w:sz="4" w:space="0" w:color="auto"/>
              <w:right w:val="single" w:sz="4" w:space="0" w:color="auto"/>
            </w:tcBorders>
            <w:hideMark/>
          </w:tcPr>
          <w:p w14:paraId="24E36CAE" w14:textId="77777777" w:rsidR="00C4788E" w:rsidRPr="00142313" w:rsidRDefault="00C4788E" w:rsidP="009948A5">
            <w:pPr>
              <w:pStyle w:val="p1"/>
              <w:jc w:val="both"/>
              <w:rPr>
                <w:sz w:val="20"/>
                <w:szCs w:val="20"/>
                <w:lang w:val="uk-UA"/>
              </w:rPr>
            </w:pPr>
            <w:r w:rsidRPr="00142313">
              <w:rPr>
                <w:sz w:val="20"/>
                <w:szCs w:val="20"/>
                <w:lang w:val="uk-UA"/>
              </w:rPr>
              <w:t>600000,00</w:t>
            </w:r>
          </w:p>
        </w:tc>
        <w:tc>
          <w:tcPr>
            <w:tcW w:w="1032" w:type="dxa"/>
            <w:tcBorders>
              <w:top w:val="single" w:sz="4" w:space="0" w:color="auto"/>
              <w:left w:val="single" w:sz="4" w:space="0" w:color="auto"/>
              <w:bottom w:val="single" w:sz="4" w:space="0" w:color="auto"/>
              <w:right w:val="single" w:sz="4" w:space="0" w:color="auto"/>
            </w:tcBorders>
            <w:hideMark/>
          </w:tcPr>
          <w:p w14:paraId="43CD1E7C"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2F175BA1" w14:textId="77777777" w:rsidR="00C4788E" w:rsidRPr="00142313" w:rsidRDefault="00C4788E" w:rsidP="009948A5">
            <w:pPr>
              <w:pStyle w:val="p1"/>
              <w:jc w:val="both"/>
              <w:rPr>
                <w:sz w:val="20"/>
                <w:szCs w:val="20"/>
                <w:lang w:val="uk-UA"/>
              </w:rPr>
            </w:pPr>
            <w:r w:rsidRPr="00142313">
              <w:rPr>
                <w:sz w:val="20"/>
                <w:szCs w:val="20"/>
                <w:lang w:val="uk-UA"/>
              </w:rPr>
              <w:t>600000,00</w:t>
            </w:r>
          </w:p>
        </w:tc>
        <w:tc>
          <w:tcPr>
            <w:tcW w:w="1061" w:type="dxa"/>
            <w:tcBorders>
              <w:top w:val="single" w:sz="4" w:space="0" w:color="auto"/>
              <w:left w:val="single" w:sz="4" w:space="0" w:color="auto"/>
              <w:bottom w:val="single" w:sz="4" w:space="0" w:color="auto"/>
              <w:right w:val="single" w:sz="4" w:space="0" w:color="auto"/>
            </w:tcBorders>
            <w:hideMark/>
          </w:tcPr>
          <w:p w14:paraId="2E230E80"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11F00444" w14:textId="12008E5B" w:rsidR="00C4788E" w:rsidRPr="00F359A3" w:rsidRDefault="00617A3A" w:rsidP="00617A3A">
            <w:pPr>
              <w:pStyle w:val="p1"/>
              <w:jc w:val="both"/>
              <w:rPr>
                <w:b/>
                <w:sz w:val="20"/>
                <w:szCs w:val="20"/>
                <w:lang w:val="uk-UA"/>
              </w:rPr>
            </w:pPr>
            <w:r w:rsidRPr="00F359A3">
              <w:rPr>
                <w:b/>
                <w:sz w:val="20"/>
                <w:szCs w:val="20"/>
                <w:lang w:val="uk-UA"/>
              </w:rPr>
              <w:t>810000</w:t>
            </w:r>
            <w:r w:rsidR="00C4788E" w:rsidRPr="00F359A3">
              <w:rPr>
                <w:b/>
                <w:sz w:val="20"/>
                <w:szCs w:val="20"/>
                <w:lang w:val="uk-UA"/>
              </w:rPr>
              <w:t>,00</w:t>
            </w:r>
          </w:p>
        </w:tc>
        <w:tc>
          <w:tcPr>
            <w:tcW w:w="1061" w:type="dxa"/>
            <w:tcBorders>
              <w:top w:val="single" w:sz="4" w:space="0" w:color="auto"/>
              <w:left w:val="single" w:sz="4" w:space="0" w:color="auto"/>
              <w:bottom w:val="single" w:sz="4" w:space="0" w:color="auto"/>
              <w:right w:val="single" w:sz="4" w:space="0" w:color="auto"/>
            </w:tcBorders>
            <w:hideMark/>
          </w:tcPr>
          <w:p w14:paraId="3FE06E48"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1FF3A83C" w14:textId="18A9C0AC" w:rsidR="00C4788E" w:rsidRPr="00F359A3" w:rsidRDefault="00C4788E" w:rsidP="00F359A3">
            <w:pPr>
              <w:pStyle w:val="p1"/>
              <w:jc w:val="both"/>
              <w:rPr>
                <w:b/>
                <w:sz w:val="20"/>
                <w:szCs w:val="20"/>
                <w:lang w:val="uk-UA"/>
              </w:rPr>
            </w:pPr>
            <w:r w:rsidRPr="00F359A3">
              <w:rPr>
                <w:b/>
                <w:sz w:val="20"/>
                <w:szCs w:val="20"/>
                <w:lang w:val="uk-UA"/>
              </w:rPr>
              <w:t>2</w:t>
            </w:r>
            <w:r w:rsidR="00F359A3" w:rsidRPr="00F359A3">
              <w:rPr>
                <w:b/>
                <w:sz w:val="20"/>
                <w:szCs w:val="20"/>
                <w:lang w:val="uk-UA"/>
              </w:rPr>
              <w:t>010000</w:t>
            </w:r>
            <w:r w:rsidRPr="00F359A3">
              <w:rPr>
                <w:b/>
                <w:sz w:val="20"/>
                <w:szCs w:val="20"/>
                <w:lang w:val="uk-UA"/>
              </w:rPr>
              <w:t>,00</w:t>
            </w:r>
          </w:p>
        </w:tc>
      </w:tr>
      <w:tr w:rsidR="00C4788E" w14:paraId="7CB4611A"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7D4D5050" w14:textId="77777777" w:rsidR="00C4788E" w:rsidRDefault="00C4788E" w:rsidP="009948A5">
            <w:pPr>
              <w:pStyle w:val="p1"/>
              <w:jc w:val="both"/>
              <w:rPr>
                <w:b/>
                <w:sz w:val="20"/>
                <w:szCs w:val="20"/>
                <w:lang w:val="uk-UA"/>
              </w:rPr>
            </w:pPr>
            <w:r>
              <w:rPr>
                <w:b/>
                <w:sz w:val="20"/>
                <w:szCs w:val="20"/>
                <w:lang w:val="uk-UA"/>
              </w:rPr>
              <w:t>всього</w:t>
            </w:r>
          </w:p>
        </w:tc>
        <w:tc>
          <w:tcPr>
            <w:tcW w:w="995" w:type="dxa"/>
            <w:gridSpan w:val="2"/>
            <w:tcBorders>
              <w:top w:val="single" w:sz="4" w:space="0" w:color="auto"/>
              <w:left w:val="single" w:sz="4" w:space="0" w:color="auto"/>
              <w:bottom w:val="single" w:sz="4" w:space="0" w:color="auto"/>
              <w:right w:val="single" w:sz="4" w:space="0" w:color="auto"/>
            </w:tcBorders>
            <w:hideMark/>
          </w:tcPr>
          <w:p w14:paraId="1A0EFC1C" w14:textId="77777777" w:rsidR="00C4788E" w:rsidRPr="00142313" w:rsidRDefault="00C4788E" w:rsidP="009948A5">
            <w:pPr>
              <w:pStyle w:val="p1"/>
              <w:jc w:val="both"/>
              <w:rPr>
                <w:sz w:val="20"/>
                <w:szCs w:val="20"/>
                <w:lang w:val="en-US"/>
              </w:rPr>
            </w:pPr>
            <w:r w:rsidRPr="00142313">
              <w:rPr>
                <w:sz w:val="20"/>
                <w:szCs w:val="20"/>
                <w:lang w:val="uk-UA"/>
              </w:rPr>
              <w:t>1777400,00</w:t>
            </w: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end"/>
            </w:r>
          </w:p>
        </w:tc>
        <w:tc>
          <w:tcPr>
            <w:tcW w:w="1032" w:type="dxa"/>
            <w:tcBorders>
              <w:top w:val="single" w:sz="4" w:space="0" w:color="auto"/>
              <w:left w:val="single" w:sz="4" w:space="0" w:color="auto"/>
              <w:bottom w:val="single" w:sz="4" w:space="0" w:color="auto"/>
              <w:right w:val="single" w:sz="4" w:space="0" w:color="auto"/>
            </w:tcBorders>
            <w:hideMark/>
          </w:tcPr>
          <w:p w14:paraId="4BEA7924" w14:textId="77777777" w:rsidR="00C4788E" w:rsidRPr="00142313" w:rsidRDefault="00C4788E" w:rsidP="009948A5">
            <w:pPr>
              <w:pStyle w:val="p1"/>
              <w:jc w:val="both"/>
              <w:rPr>
                <w:sz w:val="20"/>
                <w:szCs w:val="20"/>
                <w:lang w:val="en-US"/>
              </w:rPr>
            </w:pP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separate"/>
            </w:r>
            <w:r w:rsidRPr="00142313">
              <w:rPr>
                <w:sz w:val="20"/>
                <w:szCs w:val="20"/>
                <w:lang w:val="uk-UA"/>
              </w:rPr>
              <w:t>65100,00</w:t>
            </w:r>
            <w:r w:rsidRPr="00142313">
              <w:rPr>
                <w:sz w:val="20"/>
                <w:szCs w:val="20"/>
                <w:lang w:val="en-US"/>
              </w:rPr>
              <w:fldChar w:fldCharType="end"/>
            </w:r>
          </w:p>
        </w:tc>
        <w:tc>
          <w:tcPr>
            <w:tcW w:w="1190" w:type="dxa"/>
            <w:tcBorders>
              <w:top w:val="single" w:sz="4" w:space="0" w:color="auto"/>
              <w:left w:val="single" w:sz="4" w:space="0" w:color="auto"/>
              <w:bottom w:val="single" w:sz="4" w:space="0" w:color="auto"/>
              <w:right w:val="single" w:sz="4" w:space="0" w:color="auto"/>
            </w:tcBorders>
            <w:hideMark/>
          </w:tcPr>
          <w:p w14:paraId="7D36320A" w14:textId="77777777" w:rsidR="00C4788E" w:rsidRPr="00142313" w:rsidRDefault="00C4788E" w:rsidP="009948A5">
            <w:pPr>
              <w:pStyle w:val="p1"/>
              <w:jc w:val="both"/>
              <w:rPr>
                <w:sz w:val="20"/>
                <w:szCs w:val="20"/>
                <w:lang w:val="uk-UA"/>
              </w:rPr>
            </w:pPr>
            <w:r w:rsidRPr="00142313">
              <w:rPr>
                <w:sz w:val="20"/>
                <w:szCs w:val="20"/>
                <w:lang w:val="uk-UA"/>
              </w:rPr>
              <w:t>1813635,00</w:t>
            </w:r>
          </w:p>
        </w:tc>
        <w:tc>
          <w:tcPr>
            <w:tcW w:w="1061" w:type="dxa"/>
            <w:tcBorders>
              <w:top w:val="single" w:sz="4" w:space="0" w:color="auto"/>
              <w:left w:val="single" w:sz="4" w:space="0" w:color="auto"/>
              <w:bottom w:val="single" w:sz="4" w:space="0" w:color="auto"/>
              <w:right w:val="single" w:sz="4" w:space="0" w:color="auto"/>
            </w:tcBorders>
            <w:hideMark/>
          </w:tcPr>
          <w:p w14:paraId="232AB347" w14:textId="77777777" w:rsidR="00C4788E" w:rsidRPr="00142313" w:rsidRDefault="00C4788E" w:rsidP="009948A5">
            <w:pPr>
              <w:pStyle w:val="p1"/>
              <w:jc w:val="both"/>
              <w:rPr>
                <w:sz w:val="20"/>
                <w:szCs w:val="20"/>
                <w:lang w:val="uk-UA"/>
              </w:rPr>
            </w:pP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separate"/>
            </w:r>
            <w:r w:rsidRPr="00142313">
              <w:rPr>
                <w:noProof/>
                <w:sz w:val="20"/>
                <w:szCs w:val="20"/>
                <w:lang w:val="en-US"/>
              </w:rPr>
              <w:t>65100</w:t>
            </w:r>
            <w:r w:rsidRPr="00142313">
              <w:rPr>
                <w:sz w:val="20"/>
                <w:szCs w:val="20"/>
                <w:lang w:val="en-US"/>
              </w:rPr>
              <w:fldChar w:fldCharType="end"/>
            </w:r>
            <w:r w:rsidRPr="00142313">
              <w:rPr>
                <w:sz w:val="20"/>
                <w:szCs w:val="20"/>
                <w:lang w:val="uk-UA"/>
              </w:rPr>
              <w:t>,00</w:t>
            </w:r>
          </w:p>
        </w:tc>
        <w:tc>
          <w:tcPr>
            <w:tcW w:w="1152" w:type="dxa"/>
            <w:tcBorders>
              <w:top w:val="single" w:sz="4" w:space="0" w:color="auto"/>
              <w:left w:val="single" w:sz="4" w:space="0" w:color="auto"/>
              <w:bottom w:val="single" w:sz="4" w:space="0" w:color="auto"/>
              <w:right w:val="single" w:sz="4" w:space="0" w:color="auto"/>
            </w:tcBorders>
            <w:hideMark/>
          </w:tcPr>
          <w:p w14:paraId="382C7832" w14:textId="5E352C1A" w:rsidR="00C4788E" w:rsidRPr="00142313" w:rsidRDefault="00C4788E" w:rsidP="00D21D61">
            <w:pPr>
              <w:pStyle w:val="p1"/>
              <w:tabs>
                <w:tab w:val="left" w:pos="676"/>
              </w:tabs>
              <w:jc w:val="center"/>
              <w:rPr>
                <w:b/>
                <w:sz w:val="20"/>
                <w:szCs w:val="20"/>
                <w:lang w:val="uk-UA"/>
              </w:rPr>
            </w:pPr>
            <w:r w:rsidRPr="00142313">
              <w:rPr>
                <w:b/>
                <w:sz w:val="20"/>
                <w:szCs w:val="20"/>
                <w:lang w:val="en-US"/>
              </w:rPr>
              <w:t>1</w:t>
            </w:r>
            <w:r w:rsidR="00D21D61">
              <w:rPr>
                <w:b/>
                <w:sz w:val="20"/>
                <w:szCs w:val="20"/>
                <w:lang w:val="uk-UA"/>
              </w:rPr>
              <w:t>022800</w:t>
            </w:r>
            <w:r w:rsidRPr="00142313">
              <w:rPr>
                <w:b/>
                <w:sz w:val="20"/>
                <w:szCs w:val="20"/>
                <w:lang w:val="uk-UA"/>
              </w:rPr>
              <w:t>,00</w:t>
            </w:r>
          </w:p>
        </w:tc>
        <w:tc>
          <w:tcPr>
            <w:tcW w:w="1061" w:type="dxa"/>
            <w:tcBorders>
              <w:top w:val="single" w:sz="4" w:space="0" w:color="auto"/>
              <w:left w:val="single" w:sz="4" w:space="0" w:color="auto"/>
              <w:bottom w:val="single" w:sz="4" w:space="0" w:color="auto"/>
              <w:right w:val="single" w:sz="4" w:space="0" w:color="auto"/>
            </w:tcBorders>
            <w:hideMark/>
          </w:tcPr>
          <w:p w14:paraId="1D0BE1FE" w14:textId="77777777" w:rsidR="00C4788E" w:rsidRPr="00142313" w:rsidRDefault="00C4788E" w:rsidP="009948A5">
            <w:pPr>
              <w:pStyle w:val="p1"/>
              <w:tabs>
                <w:tab w:val="left" w:pos="676"/>
              </w:tabs>
              <w:jc w:val="center"/>
              <w:rPr>
                <w:sz w:val="20"/>
                <w:szCs w:val="20"/>
                <w:lang w:val="uk-UA"/>
              </w:rPr>
            </w:pP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separate"/>
            </w:r>
            <w:r w:rsidRPr="00142313">
              <w:rPr>
                <w:noProof/>
                <w:sz w:val="20"/>
                <w:szCs w:val="20"/>
                <w:lang w:val="en-US"/>
              </w:rPr>
              <w:t>65100</w:t>
            </w:r>
            <w:r w:rsidRPr="00142313">
              <w:rPr>
                <w:sz w:val="20"/>
                <w:szCs w:val="20"/>
                <w:lang w:val="en-US"/>
              </w:rPr>
              <w:fldChar w:fldCharType="end"/>
            </w:r>
            <w:r w:rsidRPr="00142313">
              <w:rPr>
                <w:sz w:val="20"/>
                <w:szCs w:val="20"/>
                <w:lang w:val="uk-UA"/>
              </w:rPr>
              <w:t>,00</w:t>
            </w:r>
          </w:p>
        </w:tc>
        <w:tc>
          <w:tcPr>
            <w:tcW w:w="1166" w:type="dxa"/>
            <w:tcBorders>
              <w:top w:val="single" w:sz="4" w:space="0" w:color="auto"/>
              <w:left w:val="single" w:sz="4" w:space="0" w:color="auto"/>
              <w:bottom w:val="single" w:sz="4" w:space="0" w:color="auto"/>
              <w:right w:val="single" w:sz="4" w:space="0" w:color="auto"/>
            </w:tcBorders>
            <w:hideMark/>
          </w:tcPr>
          <w:p w14:paraId="6BE9A037" w14:textId="586E2D34" w:rsidR="00C4788E" w:rsidRPr="00142313" w:rsidRDefault="00C4788E" w:rsidP="004048C8">
            <w:pPr>
              <w:pStyle w:val="p1"/>
              <w:jc w:val="both"/>
              <w:rPr>
                <w:b/>
                <w:sz w:val="20"/>
                <w:szCs w:val="20"/>
                <w:lang w:val="uk-UA"/>
              </w:rPr>
            </w:pPr>
            <w:r w:rsidRPr="00142313">
              <w:rPr>
                <w:b/>
                <w:sz w:val="20"/>
                <w:szCs w:val="20"/>
                <w:lang w:val="en-US"/>
              </w:rPr>
              <w:t>4</w:t>
            </w:r>
            <w:r w:rsidR="004048C8">
              <w:rPr>
                <w:b/>
                <w:sz w:val="20"/>
                <w:szCs w:val="20"/>
                <w:lang w:val="uk-UA"/>
              </w:rPr>
              <w:t>809135</w:t>
            </w:r>
            <w:r w:rsidRPr="00142313">
              <w:rPr>
                <w:b/>
                <w:sz w:val="20"/>
                <w:szCs w:val="20"/>
                <w:lang w:val="uk-UA"/>
              </w:rPr>
              <w:t>,00</w:t>
            </w:r>
          </w:p>
        </w:tc>
      </w:tr>
    </w:tbl>
    <w:p w14:paraId="2EFE1DDB" w14:textId="22026223" w:rsidR="00C4788E" w:rsidRDefault="00D21D61" w:rsidP="00C4788E">
      <w:pPr>
        <w:spacing w:after="0" w:line="240" w:lineRule="auto"/>
        <w:rPr>
          <w:rFonts w:ascii="Times New Roman" w:hAnsi="Times New Roman"/>
          <w:b/>
          <w:sz w:val="28"/>
          <w:szCs w:val="20"/>
          <w:lang w:val="uk-UA" w:eastAsia="uk-UA"/>
        </w:rPr>
      </w:pPr>
      <w:r>
        <w:rPr>
          <w:rFonts w:ascii="Times New Roman" w:hAnsi="Times New Roman"/>
          <w:b/>
          <w:sz w:val="28"/>
          <w:szCs w:val="20"/>
          <w:lang w:val="uk-UA" w:eastAsia="uk-UA"/>
        </w:rPr>
        <w:t xml:space="preserve">                                                                                                   </w:t>
      </w:r>
      <w:r w:rsidR="00C92493">
        <w:rPr>
          <w:rFonts w:ascii="Times New Roman" w:hAnsi="Times New Roman"/>
          <w:b/>
          <w:sz w:val="28"/>
          <w:szCs w:val="20"/>
          <w:lang w:val="uk-UA" w:eastAsia="uk-UA"/>
        </w:rPr>
        <w:t xml:space="preserve">      </w:t>
      </w:r>
      <w:r w:rsidR="004048C8">
        <w:rPr>
          <w:rFonts w:ascii="Times New Roman" w:hAnsi="Times New Roman"/>
          <w:b/>
          <w:sz w:val="28"/>
          <w:szCs w:val="20"/>
          <w:lang w:val="uk-UA" w:eastAsia="uk-UA"/>
        </w:rPr>
        <w:t xml:space="preserve">                         </w:t>
      </w:r>
    </w:p>
    <w:p w14:paraId="1C820442" w14:textId="77777777" w:rsidR="00C4788E" w:rsidRPr="00531E6C" w:rsidRDefault="00C4788E" w:rsidP="00C4788E">
      <w:pPr>
        <w:pStyle w:val="p1"/>
        <w:spacing w:before="0" w:beforeAutospacing="0" w:after="0" w:afterAutospacing="0" w:line="0" w:lineRule="atLeast"/>
        <w:ind w:left="360"/>
        <w:jc w:val="center"/>
        <w:rPr>
          <w:rStyle w:val="s2"/>
          <w:b/>
          <w:sz w:val="28"/>
          <w:szCs w:val="28"/>
          <w:lang w:val="uk-UA"/>
        </w:rPr>
      </w:pPr>
      <w:r w:rsidRPr="00531E6C">
        <w:rPr>
          <w:rStyle w:val="s2"/>
          <w:b/>
          <w:sz w:val="28"/>
          <w:szCs w:val="28"/>
          <w:lang w:val="uk-UA"/>
        </w:rPr>
        <w:t>VІІ. Очікувані результати</w:t>
      </w:r>
    </w:p>
    <w:p w14:paraId="42EA180A" w14:textId="77777777" w:rsidR="00C4788E" w:rsidRPr="00531E6C" w:rsidRDefault="00C4788E" w:rsidP="00C4788E">
      <w:pPr>
        <w:pStyle w:val="p1"/>
        <w:spacing w:before="0" w:beforeAutospacing="0" w:after="0" w:afterAutospacing="0" w:line="0" w:lineRule="atLeast"/>
        <w:jc w:val="center"/>
        <w:rPr>
          <w:b/>
          <w:sz w:val="28"/>
          <w:szCs w:val="28"/>
          <w:lang w:val="uk-UA"/>
        </w:rPr>
      </w:pPr>
    </w:p>
    <w:p w14:paraId="29A91D16" w14:textId="77777777" w:rsidR="00C4788E" w:rsidRPr="00531E6C" w:rsidRDefault="00C4788E" w:rsidP="00C4788E">
      <w:pPr>
        <w:pStyle w:val="p9"/>
        <w:spacing w:before="0" w:beforeAutospacing="0" w:after="0" w:afterAutospacing="0" w:line="0" w:lineRule="atLeast"/>
        <w:ind w:firstLine="720"/>
        <w:jc w:val="both"/>
        <w:rPr>
          <w:sz w:val="28"/>
          <w:szCs w:val="28"/>
          <w:lang w:val="uk-UA"/>
        </w:rPr>
      </w:pPr>
      <w:r w:rsidRPr="00531E6C">
        <w:rPr>
          <w:sz w:val="28"/>
          <w:szCs w:val="28"/>
          <w:lang w:val="uk-UA"/>
        </w:rPr>
        <w:t>Реалізація Програми</w:t>
      </w:r>
      <w:r w:rsidRPr="00531E6C">
        <w:rPr>
          <w:b/>
          <w:sz w:val="28"/>
          <w:szCs w:val="28"/>
          <w:lang w:val="uk-UA"/>
        </w:rPr>
        <w:t xml:space="preserve"> </w:t>
      </w:r>
      <w:r>
        <w:rPr>
          <w:b/>
          <w:sz w:val="28"/>
          <w:szCs w:val="28"/>
          <w:lang w:val="uk-UA"/>
        </w:rPr>
        <w:t>з</w:t>
      </w:r>
      <w:r w:rsidRPr="00531E6C">
        <w:rPr>
          <w:sz w:val="28"/>
          <w:szCs w:val="28"/>
          <w:lang w:val="uk-UA"/>
        </w:rPr>
        <w:t xml:space="preserve">абезпечить </w:t>
      </w:r>
      <w:r>
        <w:rPr>
          <w:sz w:val="28"/>
          <w:szCs w:val="28"/>
          <w:lang w:val="uk-UA"/>
        </w:rPr>
        <w:t>право на пільговий проїзд</w:t>
      </w:r>
      <w:r w:rsidRPr="00531E6C">
        <w:rPr>
          <w:sz w:val="28"/>
          <w:szCs w:val="28"/>
          <w:lang w:val="uk-UA"/>
        </w:rPr>
        <w:t xml:space="preserve"> окремих категорій громадян на міських та приміських маршрутах залізничним та автомобільним транспортом загального користування та компенсацію збитків перевізникам від пільгових перевезень окремих категорій громадян, відшкодування витрат за надані послуги зв’язку, відшкодування вартості путівки на санаторно-курортне лікування, відшкодування проїзду та медичного обслуговування осіб, які постраждали внаслідок Чорнобильської катастрофи, компенсації витрат на поховання учасників бойових дій, постраждалих учасників Революції Гідності і осіб з інвалідністю внаслідок війни, грошової компенсації на бензин, ремонт і технічне обслуговування автомобілів та транспортне обслуговування згідно з чинним законодавством України.</w:t>
      </w:r>
    </w:p>
    <w:p w14:paraId="57CDAC95" w14:textId="77777777" w:rsidR="00C4788E" w:rsidRPr="00531E6C" w:rsidRDefault="00C4788E" w:rsidP="00C4788E">
      <w:pPr>
        <w:pStyle w:val="p1"/>
        <w:spacing w:before="0" w:beforeAutospacing="0" w:after="0" w:afterAutospacing="0" w:line="0" w:lineRule="atLeast"/>
        <w:ind w:firstLine="720"/>
        <w:jc w:val="both"/>
        <w:rPr>
          <w:sz w:val="28"/>
          <w:szCs w:val="28"/>
          <w:lang w:val="uk-UA"/>
        </w:rPr>
      </w:pPr>
      <w:r w:rsidRPr="00531E6C">
        <w:rPr>
          <w:sz w:val="28"/>
          <w:szCs w:val="28"/>
          <w:lang w:val="uk-UA"/>
        </w:rPr>
        <w:t>Зниження соціальної напруги серед пільгової категорії населення на території Козятинської міської громади.</w:t>
      </w:r>
    </w:p>
    <w:p w14:paraId="0862B6EF" w14:textId="77777777" w:rsidR="00C4788E" w:rsidRPr="00531E6C" w:rsidRDefault="00C4788E" w:rsidP="00C4788E">
      <w:pPr>
        <w:pStyle w:val="p9"/>
        <w:spacing w:before="0" w:beforeAutospacing="0" w:after="0" w:afterAutospacing="0" w:line="0" w:lineRule="atLeast"/>
        <w:jc w:val="both"/>
        <w:rPr>
          <w:sz w:val="28"/>
          <w:szCs w:val="28"/>
          <w:lang w:val="uk-UA"/>
        </w:rPr>
      </w:pPr>
    </w:p>
    <w:p w14:paraId="4E10AA64" w14:textId="77777777" w:rsidR="00C4788E" w:rsidRPr="00531E6C" w:rsidRDefault="00C4788E" w:rsidP="00C4788E">
      <w:pPr>
        <w:spacing w:line="0" w:lineRule="atLeast"/>
        <w:jc w:val="center"/>
        <w:rPr>
          <w:rFonts w:ascii="Times New Roman" w:hAnsi="Times New Roman"/>
          <w:b/>
          <w:sz w:val="28"/>
          <w:szCs w:val="28"/>
        </w:rPr>
      </w:pPr>
      <w:r w:rsidRPr="00531E6C">
        <w:rPr>
          <w:rStyle w:val="s2"/>
          <w:rFonts w:ascii="Times New Roman" w:hAnsi="Times New Roman"/>
          <w:b/>
          <w:sz w:val="28"/>
          <w:szCs w:val="28"/>
        </w:rPr>
        <w:t xml:space="preserve">       VІІІ</w:t>
      </w:r>
      <w:r w:rsidRPr="00531E6C">
        <w:rPr>
          <w:rFonts w:ascii="Times New Roman" w:hAnsi="Times New Roman"/>
          <w:b/>
          <w:sz w:val="28"/>
          <w:szCs w:val="28"/>
        </w:rPr>
        <w:t xml:space="preserve">. Система </w:t>
      </w:r>
      <w:proofErr w:type="spellStart"/>
      <w:r w:rsidRPr="00531E6C">
        <w:rPr>
          <w:rFonts w:ascii="Times New Roman" w:hAnsi="Times New Roman"/>
          <w:b/>
          <w:sz w:val="28"/>
          <w:szCs w:val="28"/>
        </w:rPr>
        <w:t>управління</w:t>
      </w:r>
      <w:proofErr w:type="spellEnd"/>
      <w:r w:rsidRPr="00531E6C">
        <w:rPr>
          <w:rFonts w:ascii="Times New Roman" w:hAnsi="Times New Roman"/>
          <w:b/>
          <w:sz w:val="28"/>
          <w:szCs w:val="28"/>
        </w:rPr>
        <w:t xml:space="preserve"> та контролю за ходом </w:t>
      </w:r>
      <w:proofErr w:type="spellStart"/>
      <w:r w:rsidRPr="00531E6C">
        <w:rPr>
          <w:rFonts w:ascii="Times New Roman" w:hAnsi="Times New Roman"/>
          <w:b/>
          <w:sz w:val="28"/>
          <w:szCs w:val="28"/>
        </w:rPr>
        <w:t>виконання</w:t>
      </w:r>
      <w:proofErr w:type="spellEnd"/>
      <w:r w:rsidRPr="00531E6C">
        <w:rPr>
          <w:rFonts w:ascii="Times New Roman" w:hAnsi="Times New Roman"/>
          <w:b/>
          <w:sz w:val="28"/>
          <w:szCs w:val="28"/>
        </w:rPr>
        <w:t xml:space="preserve"> </w:t>
      </w:r>
      <w:proofErr w:type="spellStart"/>
      <w:r w:rsidRPr="00531E6C">
        <w:rPr>
          <w:rFonts w:ascii="Times New Roman" w:hAnsi="Times New Roman"/>
          <w:b/>
          <w:sz w:val="28"/>
          <w:szCs w:val="28"/>
        </w:rPr>
        <w:t>Програми</w:t>
      </w:r>
      <w:proofErr w:type="spellEnd"/>
    </w:p>
    <w:p w14:paraId="7065A7AD" w14:textId="77777777" w:rsidR="00C4788E" w:rsidRPr="00531E6C" w:rsidRDefault="00C4788E" w:rsidP="00C4788E">
      <w:pPr>
        <w:pStyle w:val="p9"/>
        <w:spacing w:before="0" w:beforeAutospacing="0" w:after="0" w:afterAutospacing="0" w:line="0" w:lineRule="atLeast"/>
        <w:ind w:firstLine="720"/>
        <w:jc w:val="both"/>
        <w:rPr>
          <w:sz w:val="28"/>
          <w:szCs w:val="28"/>
          <w:lang w:val="uk-UA"/>
        </w:rPr>
      </w:pPr>
      <w:r w:rsidRPr="00531E6C">
        <w:rPr>
          <w:sz w:val="28"/>
          <w:szCs w:val="28"/>
          <w:lang w:val="uk-UA"/>
        </w:rPr>
        <w:t>Організаційний супровід та координація діяльності щодо виконання Програми</w:t>
      </w:r>
      <w:r w:rsidRPr="00531E6C">
        <w:rPr>
          <w:b/>
          <w:sz w:val="28"/>
          <w:szCs w:val="28"/>
          <w:lang w:val="uk-UA"/>
        </w:rPr>
        <w:t xml:space="preserve"> </w:t>
      </w:r>
      <w:r w:rsidRPr="00531E6C">
        <w:rPr>
          <w:sz w:val="28"/>
          <w:szCs w:val="28"/>
          <w:lang w:val="uk-UA"/>
        </w:rPr>
        <w:t>управлінням соціального захисту населення Козятинської міської ради відповідно до Порядку надання пільг окремим категоріям громадян з оплати послуг зв’язку</w:t>
      </w:r>
      <w:r>
        <w:rPr>
          <w:sz w:val="28"/>
          <w:szCs w:val="28"/>
          <w:lang w:val="uk-UA"/>
        </w:rPr>
        <w:t xml:space="preserve">  </w:t>
      </w:r>
      <w:r w:rsidRPr="005803DB">
        <w:rPr>
          <w:sz w:val="28"/>
          <w:szCs w:val="28"/>
          <w:lang w:val="uk-UA"/>
        </w:rPr>
        <w:t>(додаток 1),</w:t>
      </w:r>
      <w:r w:rsidRPr="00531E6C">
        <w:rPr>
          <w:sz w:val="28"/>
          <w:szCs w:val="28"/>
          <w:lang w:val="uk-UA"/>
        </w:rPr>
        <w:t xml:space="preserve"> Порядку забезпечення санаторно-курортними путівками ветеранів війни та осіб, на яких поширюється дія Закону України «Про статус ветеранів війни, </w:t>
      </w:r>
      <w:r w:rsidRPr="00531E6C">
        <w:rPr>
          <w:sz w:val="28"/>
          <w:szCs w:val="28"/>
          <w:lang w:val="uk-UA"/>
        </w:rPr>
        <w:lastRenderedPageBreak/>
        <w:t>гарантії їх соціального захисту</w:t>
      </w:r>
      <w:r w:rsidRPr="005803DB">
        <w:rPr>
          <w:sz w:val="28"/>
          <w:szCs w:val="28"/>
          <w:lang w:val="uk-UA"/>
        </w:rPr>
        <w:t>» (Додаток 2),</w:t>
      </w:r>
      <w:r w:rsidRPr="005803DB">
        <w:rPr>
          <w:sz w:val="32"/>
          <w:szCs w:val="28"/>
          <w:lang w:val="uk-UA"/>
        </w:rPr>
        <w:t xml:space="preserve"> </w:t>
      </w:r>
      <w:r w:rsidRPr="00531E6C">
        <w:rPr>
          <w:sz w:val="28"/>
          <w:szCs w:val="28"/>
          <w:lang w:val="uk-UA"/>
        </w:rPr>
        <w:t>Порядку виплати компенсації на поховання учасників бойових дій, постраждалих учасників Революції Гідності і осіб з інвалідністю внаслідок війни</w:t>
      </w:r>
      <w:r>
        <w:rPr>
          <w:sz w:val="28"/>
          <w:szCs w:val="28"/>
          <w:lang w:val="uk-UA"/>
        </w:rPr>
        <w:t xml:space="preserve"> </w:t>
      </w:r>
      <w:r w:rsidRPr="005803DB">
        <w:rPr>
          <w:sz w:val="28"/>
          <w:szCs w:val="28"/>
          <w:lang w:val="uk-UA"/>
        </w:rPr>
        <w:t>(Додаток 3),</w:t>
      </w:r>
      <w:r w:rsidRPr="00531E6C">
        <w:rPr>
          <w:sz w:val="28"/>
          <w:szCs w:val="28"/>
          <w:lang w:val="uk-UA"/>
        </w:rPr>
        <w:t xml:space="preserve"> Порядку виплати грошової компенсації на бензин, ремонт і технічне обслуговування автомобілів та транспортне обслуговування</w:t>
      </w:r>
      <w:r w:rsidRPr="005803DB">
        <w:rPr>
          <w:sz w:val="28"/>
          <w:szCs w:val="28"/>
          <w:lang w:val="uk-UA"/>
        </w:rPr>
        <w:t xml:space="preserve"> (</w:t>
      </w:r>
      <w:r>
        <w:rPr>
          <w:sz w:val="28"/>
          <w:szCs w:val="28"/>
          <w:lang w:val="uk-UA"/>
        </w:rPr>
        <w:t>Додаток 4)</w:t>
      </w:r>
      <w:r w:rsidRPr="00531E6C">
        <w:rPr>
          <w:sz w:val="28"/>
          <w:szCs w:val="28"/>
          <w:lang w:val="uk-UA"/>
        </w:rPr>
        <w:t xml:space="preserve">, Порядку надання компенсації за пільговий проїзд один раз на рік до будь-якого пункту України і назад автомобільним або повітряним, або залізничним, або водним транспортом відповідно до Закону України </w:t>
      </w:r>
      <w:r w:rsidRPr="00531E6C">
        <w:rPr>
          <w:bCs/>
          <w:sz w:val="28"/>
          <w:szCs w:val="28"/>
          <w:lang w:val="uk-UA"/>
        </w:rPr>
        <w:t xml:space="preserve">«Про статус і соціальний захист громадян, які </w:t>
      </w:r>
      <w:r w:rsidRPr="00531E6C">
        <w:rPr>
          <w:sz w:val="28"/>
          <w:szCs w:val="28"/>
          <w:lang w:val="uk-UA"/>
        </w:rPr>
        <w:t>постраждали внаслідок Чорнобильської катастрофи»</w:t>
      </w:r>
      <w:r>
        <w:rPr>
          <w:sz w:val="28"/>
          <w:szCs w:val="28"/>
          <w:lang w:val="uk-UA"/>
        </w:rPr>
        <w:t xml:space="preserve"> (додаток 5)</w:t>
      </w:r>
      <w:r w:rsidRPr="00531E6C">
        <w:rPr>
          <w:sz w:val="28"/>
          <w:szCs w:val="28"/>
          <w:lang w:val="uk-UA"/>
        </w:rPr>
        <w:t>, Порядку забезпечення медичного обслуговування осіб, які постраждали внаслідок Чорнобильської катастрофи</w:t>
      </w:r>
      <w:r>
        <w:rPr>
          <w:sz w:val="28"/>
          <w:szCs w:val="28"/>
          <w:lang w:val="uk-UA"/>
        </w:rPr>
        <w:t xml:space="preserve"> (Додаток 6)</w:t>
      </w:r>
      <w:r w:rsidRPr="00531E6C">
        <w:rPr>
          <w:sz w:val="28"/>
          <w:szCs w:val="28"/>
          <w:lang w:val="uk-UA"/>
        </w:rPr>
        <w:t xml:space="preserve">, Порядку надання компенсації за пільговий проїзд </w:t>
      </w:r>
      <w:r>
        <w:rPr>
          <w:sz w:val="28"/>
          <w:szCs w:val="28"/>
          <w:lang w:val="uk-UA"/>
        </w:rPr>
        <w:t>на внутрішніх лініях залізничним транспортом у приміському сполученні  (Додаток 7), Порядок надання компенсації за пільговий проїзд міським та приміським автомобільним транспортом загального користування (Додаток 8)</w:t>
      </w:r>
      <w:r w:rsidRPr="00531E6C">
        <w:rPr>
          <w:sz w:val="28"/>
          <w:szCs w:val="28"/>
          <w:lang w:val="uk-UA"/>
        </w:rPr>
        <w:t>.</w:t>
      </w:r>
    </w:p>
    <w:p w14:paraId="06DE8087" w14:textId="77777777" w:rsidR="00C4788E" w:rsidRPr="00531E6C" w:rsidRDefault="00C4788E" w:rsidP="00C4788E">
      <w:pPr>
        <w:ind w:firstLine="1418"/>
        <w:jc w:val="both"/>
        <w:rPr>
          <w:rFonts w:ascii="Times New Roman" w:hAnsi="Times New Roman"/>
          <w:sz w:val="28"/>
          <w:szCs w:val="28"/>
        </w:rPr>
      </w:pPr>
      <w:r w:rsidRPr="00531E6C">
        <w:rPr>
          <w:rFonts w:ascii="Times New Roman" w:hAnsi="Times New Roman"/>
          <w:sz w:val="28"/>
          <w:szCs w:val="28"/>
        </w:rPr>
        <w:t xml:space="preserve">Контроль за </w:t>
      </w:r>
      <w:proofErr w:type="spellStart"/>
      <w:r w:rsidRPr="00531E6C">
        <w:rPr>
          <w:rFonts w:ascii="Times New Roman" w:hAnsi="Times New Roman"/>
          <w:sz w:val="28"/>
          <w:szCs w:val="28"/>
        </w:rPr>
        <w:t>виконанням</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комплексної</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Програми</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соціального</w:t>
      </w:r>
      <w:proofErr w:type="spellEnd"/>
      <w:r w:rsidRPr="00531E6C">
        <w:rPr>
          <w:rFonts w:ascii="Times New Roman" w:hAnsi="Times New Roman"/>
          <w:sz w:val="28"/>
          <w:szCs w:val="28"/>
        </w:rPr>
        <w:t xml:space="preserve"> </w:t>
      </w:r>
      <w:proofErr w:type="spellStart"/>
      <w:proofErr w:type="gramStart"/>
      <w:r w:rsidRPr="00531E6C">
        <w:rPr>
          <w:rFonts w:ascii="Times New Roman" w:hAnsi="Times New Roman"/>
          <w:sz w:val="28"/>
          <w:szCs w:val="28"/>
        </w:rPr>
        <w:t>захисту</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пільгових</w:t>
      </w:r>
      <w:proofErr w:type="spellEnd"/>
      <w:proofErr w:type="gramEnd"/>
      <w:r w:rsidRPr="00531E6C">
        <w:rPr>
          <w:rFonts w:ascii="Times New Roman" w:hAnsi="Times New Roman"/>
          <w:sz w:val="28"/>
          <w:szCs w:val="28"/>
        </w:rPr>
        <w:t xml:space="preserve"> </w:t>
      </w:r>
      <w:proofErr w:type="spellStart"/>
      <w:r w:rsidRPr="00531E6C">
        <w:rPr>
          <w:rFonts w:ascii="Times New Roman" w:hAnsi="Times New Roman"/>
          <w:sz w:val="28"/>
          <w:szCs w:val="28"/>
        </w:rPr>
        <w:t>категорій</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громадян</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здійснюється</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міською</w:t>
      </w:r>
      <w:proofErr w:type="spellEnd"/>
      <w:r w:rsidRPr="00531E6C">
        <w:rPr>
          <w:rFonts w:ascii="Times New Roman" w:hAnsi="Times New Roman"/>
          <w:sz w:val="28"/>
          <w:szCs w:val="28"/>
        </w:rPr>
        <w:t xml:space="preserve"> радою.   </w:t>
      </w:r>
    </w:p>
    <w:p w14:paraId="20F56514" w14:textId="10CB095B" w:rsidR="00C4788E" w:rsidRDefault="00C4788E" w:rsidP="00C4788E">
      <w:pPr>
        <w:pStyle w:val="aa"/>
        <w:jc w:val="right"/>
        <w:rPr>
          <w:lang w:val="uk-UA"/>
        </w:rPr>
      </w:pPr>
    </w:p>
    <w:p w14:paraId="583291F1" w14:textId="2715B8FF" w:rsidR="00DB3BC7" w:rsidRDefault="00DB3BC7" w:rsidP="00C4788E">
      <w:pPr>
        <w:pStyle w:val="aa"/>
        <w:jc w:val="right"/>
        <w:rPr>
          <w:lang w:val="uk-UA"/>
        </w:rPr>
      </w:pPr>
    </w:p>
    <w:p w14:paraId="0766DE70" w14:textId="10703353" w:rsidR="00DB3BC7" w:rsidRDefault="00DB3BC7" w:rsidP="00C4788E">
      <w:pPr>
        <w:pStyle w:val="aa"/>
        <w:jc w:val="right"/>
        <w:rPr>
          <w:lang w:val="uk-UA"/>
        </w:rPr>
      </w:pPr>
    </w:p>
    <w:p w14:paraId="3B6DB951" w14:textId="7B6B1ACF" w:rsidR="00DB3BC7" w:rsidRDefault="00DB3BC7" w:rsidP="00C4788E">
      <w:pPr>
        <w:pStyle w:val="aa"/>
        <w:jc w:val="right"/>
        <w:rPr>
          <w:lang w:val="uk-UA"/>
        </w:rPr>
      </w:pPr>
    </w:p>
    <w:p w14:paraId="56F074DA" w14:textId="61BFC08F" w:rsidR="00DB3BC7" w:rsidRDefault="00DB3BC7" w:rsidP="00C4788E">
      <w:pPr>
        <w:pStyle w:val="aa"/>
        <w:jc w:val="right"/>
        <w:rPr>
          <w:lang w:val="uk-UA"/>
        </w:rPr>
      </w:pPr>
    </w:p>
    <w:p w14:paraId="144B2756" w14:textId="2230CB9C" w:rsidR="00DB3BC7" w:rsidRDefault="00DB3BC7" w:rsidP="00C4788E">
      <w:pPr>
        <w:pStyle w:val="aa"/>
        <w:jc w:val="right"/>
        <w:rPr>
          <w:lang w:val="uk-UA"/>
        </w:rPr>
      </w:pPr>
    </w:p>
    <w:p w14:paraId="44FFF072" w14:textId="29B817E9" w:rsidR="00DB3BC7" w:rsidRDefault="00DB3BC7" w:rsidP="00C4788E">
      <w:pPr>
        <w:pStyle w:val="aa"/>
        <w:jc w:val="right"/>
        <w:rPr>
          <w:lang w:val="uk-UA"/>
        </w:rPr>
      </w:pPr>
    </w:p>
    <w:p w14:paraId="167A1EF6" w14:textId="66028A9F" w:rsidR="00DB3BC7" w:rsidRDefault="00DB3BC7" w:rsidP="00C4788E">
      <w:pPr>
        <w:pStyle w:val="aa"/>
        <w:jc w:val="right"/>
        <w:rPr>
          <w:lang w:val="uk-UA"/>
        </w:rPr>
      </w:pPr>
    </w:p>
    <w:p w14:paraId="0A8CEC01" w14:textId="5B46879A" w:rsidR="00DB3BC7" w:rsidRDefault="00DB3BC7" w:rsidP="00C4788E">
      <w:pPr>
        <w:pStyle w:val="aa"/>
        <w:jc w:val="right"/>
        <w:rPr>
          <w:lang w:val="uk-UA"/>
        </w:rPr>
      </w:pPr>
    </w:p>
    <w:p w14:paraId="3BCD035A" w14:textId="43065675" w:rsidR="00DB3BC7" w:rsidRDefault="00DB3BC7" w:rsidP="00C4788E">
      <w:pPr>
        <w:pStyle w:val="aa"/>
        <w:jc w:val="right"/>
        <w:rPr>
          <w:lang w:val="uk-UA"/>
        </w:rPr>
      </w:pPr>
    </w:p>
    <w:p w14:paraId="652F9A46" w14:textId="6E3E4C1D" w:rsidR="00DB3BC7" w:rsidRDefault="00DB3BC7" w:rsidP="00C4788E">
      <w:pPr>
        <w:pStyle w:val="aa"/>
        <w:jc w:val="right"/>
        <w:rPr>
          <w:lang w:val="uk-UA"/>
        </w:rPr>
      </w:pPr>
    </w:p>
    <w:p w14:paraId="66FAE8D2" w14:textId="42C2BCE5" w:rsidR="00DB3BC7" w:rsidRDefault="00DB3BC7" w:rsidP="00C4788E">
      <w:pPr>
        <w:pStyle w:val="aa"/>
        <w:jc w:val="right"/>
        <w:rPr>
          <w:lang w:val="uk-UA"/>
        </w:rPr>
      </w:pPr>
    </w:p>
    <w:p w14:paraId="43D579A7" w14:textId="6FA8DB0D" w:rsidR="00DB3BC7" w:rsidRDefault="00DB3BC7" w:rsidP="00C4788E">
      <w:pPr>
        <w:pStyle w:val="aa"/>
        <w:jc w:val="right"/>
        <w:rPr>
          <w:lang w:val="uk-UA"/>
        </w:rPr>
      </w:pPr>
    </w:p>
    <w:p w14:paraId="3BE86454" w14:textId="5D5DC5DA" w:rsidR="00DB3BC7" w:rsidRDefault="00DB3BC7" w:rsidP="00C4788E">
      <w:pPr>
        <w:pStyle w:val="aa"/>
        <w:jc w:val="right"/>
        <w:rPr>
          <w:lang w:val="uk-UA"/>
        </w:rPr>
      </w:pPr>
    </w:p>
    <w:p w14:paraId="717C2624" w14:textId="42D02D23" w:rsidR="00DB3BC7" w:rsidRDefault="00DB3BC7" w:rsidP="00C4788E">
      <w:pPr>
        <w:pStyle w:val="aa"/>
        <w:jc w:val="right"/>
        <w:rPr>
          <w:lang w:val="uk-UA"/>
        </w:rPr>
      </w:pPr>
    </w:p>
    <w:p w14:paraId="47606D82" w14:textId="5955ED3D" w:rsidR="00DB3BC7" w:rsidRDefault="00DB3BC7" w:rsidP="00C4788E">
      <w:pPr>
        <w:pStyle w:val="aa"/>
        <w:jc w:val="right"/>
        <w:rPr>
          <w:lang w:val="uk-UA"/>
        </w:rPr>
      </w:pPr>
    </w:p>
    <w:p w14:paraId="507B3545" w14:textId="21B7786D" w:rsidR="00DB3BC7" w:rsidRDefault="00DB3BC7" w:rsidP="00C4788E">
      <w:pPr>
        <w:pStyle w:val="aa"/>
        <w:jc w:val="right"/>
        <w:rPr>
          <w:lang w:val="uk-UA"/>
        </w:rPr>
      </w:pPr>
    </w:p>
    <w:p w14:paraId="1693B7B4" w14:textId="3BFB4085" w:rsidR="00DB3BC7" w:rsidRDefault="00DB3BC7" w:rsidP="00C4788E">
      <w:pPr>
        <w:pStyle w:val="aa"/>
        <w:jc w:val="right"/>
        <w:rPr>
          <w:lang w:val="uk-UA"/>
        </w:rPr>
      </w:pPr>
    </w:p>
    <w:p w14:paraId="30E6F6C6" w14:textId="2795D635" w:rsidR="00DB3BC7" w:rsidRDefault="00DB3BC7" w:rsidP="00C4788E">
      <w:pPr>
        <w:pStyle w:val="aa"/>
        <w:jc w:val="right"/>
        <w:rPr>
          <w:lang w:val="uk-UA"/>
        </w:rPr>
      </w:pPr>
    </w:p>
    <w:p w14:paraId="3A4785A6" w14:textId="64DEF556" w:rsidR="00DB3BC7" w:rsidRDefault="00DB3BC7" w:rsidP="00C4788E">
      <w:pPr>
        <w:pStyle w:val="aa"/>
        <w:jc w:val="right"/>
        <w:rPr>
          <w:lang w:val="uk-UA"/>
        </w:rPr>
      </w:pPr>
    </w:p>
    <w:p w14:paraId="5876E1BF" w14:textId="63BF3FBD" w:rsidR="00DB3BC7" w:rsidRDefault="00DB3BC7" w:rsidP="00C4788E">
      <w:pPr>
        <w:pStyle w:val="aa"/>
        <w:jc w:val="right"/>
        <w:rPr>
          <w:lang w:val="uk-UA"/>
        </w:rPr>
      </w:pPr>
    </w:p>
    <w:p w14:paraId="3AFD3052" w14:textId="1E337A88" w:rsidR="00DB3BC7" w:rsidRDefault="00DB3BC7" w:rsidP="00C4788E">
      <w:pPr>
        <w:pStyle w:val="aa"/>
        <w:jc w:val="right"/>
        <w:rPr>
          <w:lang w:val="uk-UA"/>
        </w:rPr>
      </w:pPr>
    </w:p>
    <w:p w14:paraId="51114491" w14:textId="215AF1D2" w:rsidR="00DB3BC7" w:rsidRPr="00C4788E" w:rsidRDefault="00DB3BC7" w:rsidP="00C4788E">
      <w:pPr>
        <w:spacing w:after="0" w:line="240" w:lineRule="auto"/>
        <w:rPr>
          <w:rFonts w:ascii="Times New Roman" w:hAnsi="Times New Roman"/>
          <w:b/>
          <w:sz w:val="28"/>
          <w:szCs w:val="20"/>
          <w:lang w:val="uk-UA" w:eastAsia="uk-UA"/>
        </w:rPr>
        <w:sectPr w:rsidR="00DB3BC7" w:rsidRPr="00C4788E">
          <w:pgSz w:w="11906" w:h="16838"/>
          <w:pgMar w:top="540" w:right="707" w:bottom="568" w:left="1134" w:header="709" w:footer="709" w:gutter="0"/>
          <w:cols w:space="720"/>
        </w:sectPr>
      </w:pPr>
    </w:p>
    <w:p w14:paraId="19B09020" w14:textId="77777777" w:rsidR="00EA7231" w:rsidRPr="00EA7231" w:rsidRDefault="00EA7231" w:rsidP="00DB3BC7">
      <w:pPr>
        <w:suppressAutoHyphens/>
        <w:spacing w:after="0" w:line="240" w:lineRule="auto"/>
        <w:jc w:val="both"/>
        <w:rPr>
          <w:rFonts w:ascii="Times New Roman" w:hAnsi="Times New Roman"/>
          <w:sz w:val="16"/>
          <w:szCs w:val="16"/>
          <w:lang w:eastAsia="ar-SA"/>
        </w:rPr>
      </w:pPr>
    </w:p>
    <w:sectPr w:rsidR="00EA7231" w:rsidRPr="00EA7231" w:rsidSect="001D0424">
      <w:pgSz w:w="11906" w:h="16838"/>
      <w:pgMar w:top="709" w:right="566"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6" w15:restartNumberingAfterBreak="0">
    <w:nsid w:val="32203526"/>
    <w:multiLevelType w:val="hybridMultilevel"/>
    <w:tmpl w:val="72A0C092"/>
    <w:lvl w:ilvl="0" w:tplc="2CF89580">
      <w:start w:val="1"/>
      <w:numFmt w:val="decimal"/>
      <w:lvlText w:val="%1."/>
      <w:lvlJc w:val="left"/>
      <w:pPr>
        <w:tabs>
          <w:tab w:val="num" w:pos="720"/>
        </w:tabs>
        <w:ind w:left="720" w:hanging="360"/>
      </w:pPr>
      <w:rPr>
        <w:rFonts w:cs="Times New Roman"/>
        <w:b/>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1"/>
  </w:num>
  <w:num w:numId="2">
    <w:abstractNumId w:val="4"/>
  </w:num>
  <w:num w:numId="3">
    <w:abstractNumId w:val="9"/>
  </w:num>
  <w:num w:numId="4">
    <w:abstractNumId w:val="3"/>
  </w:num>
  <w:num w:numId="5">
    <w:abstractNumId w:val="0"/>
  </w:num>
  <w:num w:numId="6">
    <w:abstractNumId w:val="8"/>
  </w:num>
  <w:num w:numId="7">
    <w:abstractNumId w:val="10"/>
  </w:num>
  <w:num w:numId="8">
    <w:abstractNumId w:val="2"/>
  </w:num>
  <w:num w:numId="9">
    <w:abstractNumId w:val="11"/>
  </w:num>
  <w:num w:numId="10">
    <w:abstractNumId w:val="5"/>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73662"/>
    <w:rsid w:val="0008192D"/>
    <w:rsid w:val="00086D12"/>
    <w:rsid w:val="000A28E3"/>
    <w:rsid w:val="000A31FC"/>
    <w:rsid w:val="000B567D"/>
    <w:rsid w:val="000C4C33"/>
    <w:rsid w:val="000D3CB9"/>
    <w:rsid w:val="000F324A"/>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5234D"/>
    <w:rsid w:val="00264F13"/>
    <w:rsid w:val="00272DCC"/>
    <w:rsid w:val="0028071E"/>
    <w:rsid w:val="00286214"/>
    <w:rsid w:val="002933D6"/>
    <w:rsid w:val="00297D60"/>
    <w:rsid w:val="002B25BA"/>
    <w:rsid w:val="002D35D1"/>
    <w:rsid w:val="002F5405"/>
    <w:rsid w:val="002F57CD"/>
    <w:rsid w:val="0030644A"/>
    <w:rsid w:val="00361167"/>
    <w:rsid w:val="00385FB0"/>
    <w:rsid w:val="003A7395"/>
    <w:rsid w:val="003B0282"/>
    <w:rsid w:val="003C51FC"/>
    <w:rsid w:val="003D3E7F"/>
    <w:rsid w:val="003E114D"/>
    <w:rsid w:val="003F018C"/>
    <w:rsid w:val="004048C8"/>
    <w:rsid w:val="0045710F"/>
    <w:rsid w:val="00460FF6"/>
    <w:rsid w:val="00466285"/>
    <w:rsid w:val="00470704"/>
    <w:rsid w:val="004821AD"/>
    <w:rsid w:val="004A0B37"/>
    <w:rsid w:val="004A7EF3"/>
    <w:rsid w:val="004B17DC"/>
    <w:rsid w:val="004E56FE"/>
    <w:rsid w:val="004F3FCE"/>
    <w:rsid w:val="00512ADB"/>
    <w:rsid w:val="00524456"/>
    <w:rsid w:val="00542F6C"/>
    <w:rsid w:val="00542F85"/>
    <w:rsid w:val="005A35A8"/>
    <w:rsid w:val="005E331C"/>
    <w:rsid w:val="005F6014"/>
    <w:rsid w:val="006065E3"/>
    <w:rsid w:val="00614191"/>
    <w:rsid w:val="00617A3A"/>
    <w:rsid w:val="00653249"/>
    <w:rsid w:val="00677CCA"/>
    <w:rsid w:val="006917A4"/>
    <w:rsid w:val="0069391A"/>
    <w:rsid w:val="006B2401"/>
    <w:rsid w:val="006B32B2"/>
    <w:rsid w:val="006C44C6"/>
    <w:rsid w:val="006C630B"/>
    <w:rsid w:val="00702709"/>
    <w:rsid w:val="00703DFB"/>
    <w:rsid w:val="00707FBA"/>
    <w:rsid w:val="007248B5"/>
    <w:rsid w:val="007604B0"/>
    <w:rsid w:val="007909FD"/>
    <w:rsid w:val="007B7DD5"/>
    <w:rsid w:val="00822C70"/>
    <w:rsid w:val="00855FFE"/>
    <w:rsid w:val="00871DEA"/>
    <w:rsid w:val="00875CA3"/>
    <w:rsid w:val="00881A7D"/>
    <w:rsid w:val="008839DB"/>
    <w:rsid w:val="008C24E1"/>
    <w:rsid w:val="008F1D5A"/>
    <w:rsid w:val="00922C87"/>
    <w:rsid w:val="00925CD4"/>
    <w:rsid w:val="009404A6"/>
    <w:rsid w:val="00943978"/>
    <w:rsid w:val="009564DE"/>
    <w:rsid w:val="00966E42"/>
    <w:rsid w:val="00991C6A"/>
    <w:rsid w:val="00A26AFE"/>
    <w:rsid w:val="00A35B2E"/>
    <w:rsid w:val="00A67D90"/>
    <w:rsid w:val="00A74BE6"/>
    <w:rsid w:val="00A936B9"/>
    <w:rsid w:val="00A97486"/>
    <w:rsid w:val="00AC1A6E"/>
    <w:rsid w:val="00AC20B5"/>
    <w:rsid w:val="00AC40A1"/>
    <w:rsid w:val="00AD20EC"/>
    <w:rsid w:val="00AD3ABE"/>
    <w:rsid w:val="00AF3969"/>
    <w:rsid w:val="00AF3F64"/>
    <w:rsid w:val="00AF4C3E"/>
    <w:rsid w:val="00B252AB"/>
    <w:rsid w:val="00B819D6"/>
    <w:rsid w:val="00BA5262"/>
    <w:rsid w:val="00BC0D5F"/>
    <w:rsid w:val="00BC4DAD"/>
    <w:rsid w:val="00BD0349"/>
    <w:rsid w:val="00C21464"/>
    <w:rsid w:val="00C4788E"/>
    <w:rsid w:val="00C738DA"/>
    <w:rsid w:val="00C83540"/>
    <w:rsid w:val="00C92493"/>
    <w:rsid w:val="00CF77EF"/>
    <w:rsid w:val="00D07CFE"/>
    <w:rsid w:val="00D158D9"/>
    <w:rsid w:val="00D21D61"/>
    <w:rsid w:val="00D21D74"/>
    <w:rsid w:val="00D2376D"/>
    <w:rsid w:val="00D50197"/>
    <w:rsid w:val="00D55A98"/>
    <w:rsid w:val="00D72511"/>
    <w:rsid w:val="00D75D69"/>
    <w:rsid w:val="00D90440"/>
    <w:rsid w:val="00D96820"/>
    <w:rsid w:val="00DA5F43"/>
    <w:rsid w:val="00DB3BC7"/>
    <w:rsid w:val="00DD20EC"/>
    <w:rsid w:val="00DF50A3"/>
    <w:rsid w:val="00E04352"/>
    <w:rsid w:val="00E30E72"/>
    <w:rsid w:val="00E355E1"/>
    <w:rsid w:val="00E40206"/>
    <w:rsid w:val="00E51D82"/>
    <w:rsid w:val="00E55208"/>
    <w:rsid w:val="00E6075F"/>
    <w:rsid w:val="00E61014"/>
    <w:rsid w:val="00E651B7"/>
    <w:rsid w:val="00EA7231"/>
    <w:rsid w:val="00EA7601"/>
    <w:rsid w:val="00EB71C2"/>
    <w:rsid w:val="00EC2421"/>
    <w:rsid w:val="00F359A3"/>
    <w:rsid w:val="00F62693"/>
    <w:rsid w:val="00F65D5E"/>
    <w:rsid w:val="00F67A3D"/>
    <w:rsid w:val="00F957EB"/>
    <w:rsid w:val="00FB29FB"/>
    <w:rsid w:val="00FD3B33"/>
    <w:rsid w:val="00FD4E5B"/>
    <w:rsid w:val="00FE0B99"/>
    <w:rsid w:val="00FE2348"/>
    <w:rsid w:val="00FE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201303AC-69F8-4D42-ACAB-2F7F17F7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1"/>
    <w:qFormat/>
    <w:rsid w:val="00FD3B33"/>
    <w:rPr>
      <w:lang w:eastAsia="en-US"/>
    </w:rPr>
  </w:style>
  <w:style w:type="paragraph" w:styleId="aa">
    <w:name w:val="Body Text"/>
    <w:basedOn w:val="a"/>
    <w:link w:val="ab"/>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rsid w:val="001D0424"/>
    <w:rPr>
      <w:rFonts w:ascii="Times New Roman" w:eastAsia="Times New Roman" w:hAnsi="Times New Roman"/>
      <w:sz w:val="24"/>
      <w:szCs w:val="24"/>
    </w:rPr>
  </w:style>
  <w:style w:type="paragraph" w:customStyle="1" w:styleId="p1">
    <w:name w:val="p1"/>
    <w:basedOn w:val="a"/>
    <w:rsid w:val="00C4788E"/>
    <w:pPr>
      <w:spacing w:before="100" w:beforeAutospacing="1" w:after="100" w:afterAutospacing="1" w:line="240" w:lineRule="auto"/>
    </w:pPr>
    <w:rPr>
      <w:rFonts w:ascii="Times New Roman" w:hAnsi="Times New Roman"/>
      <w:sz w:val="24"/>
      <w:szCs w:val="24"/>
      <w:lang w:eastAsia="ru-RU"/>
    </w:rPr>
  </w:style>
  <w:style w:type="paragraph" w:customStyle="1" w:styleId="p9">
    <w:name w:val="p9"/>
    <w:basedOn w:val="a"/>
    <w:rsid w:val="00C478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a"/>
    <w:rsid w:val="00C478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C4788E"/>
  </w:style>
  <w:style w:type="character" w:customStyle="1" w:styleId="s8">
    <w:name w:val="s8"/>
    <w:basedOn w:val="a0"/>
    <w:rsid w:val="00C4788E"/>
  </w:style>
  <w:style w:type="character" w:customStyle="1" w:styleId="s10">
    <w:name w:val="s10"/>
    <w:basedOn w:val="a0"/>
    <w:rsid w:val="00C4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 w:id="19523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AF9E-AF77-4853-99BB-96758C13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2256</Words>
  <Characters>12861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4</cp:revision>
  <cp:lastPrinted>2024-10-28T07:45:00Z</cp:lastPrinted>
  <dcterms:created xsi:type="dcterms:W3CDTF">2024-10-25T06:05:00Z</dcterms:created>
  <dcterms:modified xsi:type="dcterms:W3CDTF">2024-10-28T07:48:00Z</dcterms:modified>
</cp:coreProperties>
</file>