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27A6" w14:textId="77777777" w:rsidR="000F21C9" w:rsidRDefault="000F21C9" w:rsidP="00693AE6">
      <w:pPr>
        <w:pStyle w:val="1"/>
        <w:shd w:val="clear" w:color="auto" w:fill="auto"/>
        <w:spacing w:line="259" w:lineRule="auto"/>
        <w:ind w:left="7881" w:firstLine="23"/>
      </w:pPr>
    </w:p>
    <w:p w14:paraId="088AEC57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549981B2" w14:textId="77777777" w:rsidR="00401FC9" w:rsidRDefault="00DA6332" w:rsidP="00F552D8">
      <w:pPr>
        <w:rPr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</w:p>
    <w:p w14:paraId="20117D6E" w14:textId="77777777" w:rsidR="00DA6332" w:rsidRPr="00105DAA" w:rsidRDefault="00DA6332" w:rsidP="00401FC9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5A05B0C9" w14:textId="77777777" w:rsidR="00667766" w:rsidRPr="00667766" w:rsidRDefault="00DA6332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tbl>
      <w:tblPr>
        <w:tblW w:w="162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129"/>
        <w:gridCol w:w="2835"/>
        <w:gridCol w:w="1134"/>
        <w:gridCol w:w="1276"/>
        <w:gridCol w:w="1275"/>
        <w:gridCol w:w="1276"/>
        <w:gridCol w:w="1134"/>
        <w:gridCol w:w="1276"/>
        <w:gridCol w:w="1276"/>
        <w:gridCol w:w="1985"/>
        <w:gridCol w:w="83"/>
      </w:tblGrid>
      <w:tr w:rsidR="00DA6332" w:rsidRPr="00CF0EA3" w14:paraId="2FF8787A" w14:textId="77777777" w:rsidTr="00AA3C8D">
        <w:trPr>
          <w:gridAfter w:val="1"/>
          <w:wAfter w:w="83" w:type="dxa"/>
          <w:trHeight w:val="432"/>
        </w:trPr>
        <w:tc>
          <w:tcPr>
            <w:tcW w:w="537" w:type="dxa"/>
            <w:vMerge w:val="restart"/>
          </w:tcPr>
          <w:p w14:paraId="275C085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0B85B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9" w:type="dxa"/>
            <w:vMerge w:val="restart"/>
          </w:tcPr>
          <w:p w14:paraId="0B9287B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835" w:type="dxa"/>
            <w:vMerge w:val="restart"/>
          </w:tcPr>
          <w:p w14:paraId="0F6C3D1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66F454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276" w:type="dxa"/>
            <w:vMerge w:val="restart"/>
          </w:tcPr>
          <w:p w14:paraId="35C1DD6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275" w:type="dxa"/>
            <w:vMerge w:val="restart"/>
          </w:tcPr>
          <w:p w14:paraId="6956C69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962" w:type="dxa"/>
            <w:gridSpan w:val="4"/>
          </w:tcPr>
          <w:p w14:paraId="410DDF2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4C36D9D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1985" w:type="dxa"/>
          </w:tcPr>
          <w:p w14:paraId="6F511FC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163CA7A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543E9999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6A32ACB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3519FFB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173F1A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09D21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CE321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065A0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5D32A9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686" w:type="dxa"/>
            <w:gridSpan w:val="3"/>
          </w:tcPr>
          <w:p w14:paraId="6116308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1985" w:type="dxa"/>
          </w:tcPr>
          <w:p w14:paraId="2B50C26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A4206E0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097548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48939A7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19A6B2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0D8FE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55AD5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4E7AD2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EACD7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D94AB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14:paraId="0313107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0D6B667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</w:tcPr>
          <w:p w14:paraId="6C47D1A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1C435B5" w14:textId="77777777" w:rsidTr="00AA3C8D">
        <w:tc>
          <w:tcPr>
            <w:tcW w:w="16216" w:type="dxa"/>
            <w:gridSpan w:val="12"/>
          </w:tcPr>
          <w:p w14:paraId="720E7CBD" w14:textId="77777777" w:rsidR="00667766" w:rsidRDefault="00667766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30D455CC" w14:textId="77777777" w:rsidR="00DA6332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77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p w14:paraId="5CEC45C1" w14:textId="77777777" w:rsidR="00CE6702" w:rsidRPr="00CF0EA3" w:rsidRDefault="00CE670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6019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127"/>
              <w:gridCol w:w="2976"/>
              <w:gridCol w:w="993"/>
              <w:gridCol w:w="1277"/>
              <w:gridCol w:w="1276"/>
              <w:gridCol w:w="1134"/>
              <w:gridCol w:w="1134"/>
              <w:gridCol w:w="1274"/>
              <w:gridCol w:w="1276"/>
              <w:gridCol w:w="2126"/>
            </w:tblGrid>
            <w:tr w:rsidR="001B71DB" w:rsidRPr="00CF0EA3" w14:paraId="78EC4F3A" w14:textId="77777777" w:rsidTr="006B003D">
              <w:trPr>
                <w:trHeight w:val="130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3CE45D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0E11A92B" w14:textId="77777777" w:rsidR="001B71DB" w:rsidRPr="006A0B12" w:rsidRDefault="001B71DB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380F4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  <w:p w14:paraId="73C70287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4B8F8D8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F3D6D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2A5458F6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0E5B175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920D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  <w:p w14:paraId="4A50A735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B8139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й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бюджет</w:t>
                  </w:r>
                </w:p>
                <w:p w14:paraId="07092527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4E2FA8D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2B29B3D" w14:textId="77777777" w:rsidR="001B71DB" w:rsidRPr="006A0B12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A267C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  <w:r w:rsidR="00A75CDD"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474</w:t>
                  </w:r>
                  <w:r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,2</w:t>
                  </w:r>
                </w:p>
                <w:p w14:paraId="5FA34D25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6D36613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6FFB461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AB7C008" w14:textId="77777777" w:rsidR="001B71DB" w:rsidRPr="004F00DE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EE818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</w:t>
                  </w:r>
                  <w:r w:rsidR="00A75CDD"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21</w:t>
                  </w:r>
                  <w:r w:rsidRPr="004F00D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,4</w:t>
                  </w:r>
                </w:p>
                <w:p w14:paraId="2C2ABDDB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EC24BED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EE7CD56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DBD6164" w14:textId="77777777" w:rsidR="001B71DB" w:rsidRPr="004F00DE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E0AA1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1DFA790A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D02311A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8227C53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E0859BC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77C7A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0A1F45D7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CC703B2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9E5C584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ED72A8C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4F8835A5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377ECD4A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функціонування лікувальних</w:t>
                  </w:r>
                </w:p>
                <w:p w14:paraId="16965B43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  <w:p w14:paraId="2137E8D7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CE6702" w:rsidRPr="00CF0EA3" w14:paraId="69AEDC49" w14:textId="77777777" w:rsidTr="001A402C">
              <w:trPr>
                <w:trHeight w:val="705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A85D15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0207AF99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82033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1328376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1F9A2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26A75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AE399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  <w:p w14:paraId="4D6A16EF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9FEAB0F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9F54F4B" w14:textId="77777777" w:rsidR="008E5099" w:rsidRPr="006A0B12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бюджет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Глу</w:t>
                  </w:r>
                  <w:r w:rsidR="00A1259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овецької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ОТГ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FB901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8295,3</w:t>
                  </w:r>
                </w:p>
                <w:p w14:paraId="11991D27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A002714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2E7EFCD" w14:textId="77777777" w:rsidR="008E5099" w:rsidRPr="002E7A1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75488" w14:textId="77777777" w:rsidR="00CE6702" w:rsidRPr="002E7A19" w:rsidRDefault="00CE6702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2965,1</w:t>
                  </w:r>
                </w:p>
                <w:p w14:paraId="73A29CB3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062812E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E0288D2" w14:textId="77777777" w:rsidR="008E5099" w:rsidRPr="00AB2421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7A239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71275EE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E711AA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418B5B7" w14:textId="77777777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FEBAB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0F00F62F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2F1349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A7BD561" w14:textId="77777777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2BB5D77C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</w:t>
                  </w:r>
                </w:p>
                <w:p w14:paraId="7A188370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</w:t>
                  </w:r>
                </w:p>
                <w:p w14:paraId="19776643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зниження</w:t>
                  </w:r>
                </w:p>
                <w:p w14:paraId="149AD483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смертності, в тому числі</w:t>
                  </w:r>
                </w:p>
                <w:p w14:paraId="12D75399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працездатного населення</w:t>
                  </w:r>
                </w:p>
              </w:tc>
            </w:tr>
            <w:tr w:rsidR="00CE6702" w:rsidRPr="00CF0EA3" w14:paraId="625B4EF6" w14:textId="77777777" w:rsidTr="006B003D">
              <w:trPr>
                <w:trHeight w:val="707"/>
              </w:trPr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45D633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76222" w14:textId="77777777" w:rsidR="00CE6702" w:rsidRDefault="00CE670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C72B8" w14:textId="77777777" w:rsidR="00CE6702" w:rsidRPr="006A0B12" w:rsidRDefault="002D5268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2.2</w:t>
                  </w:r>
                  <w:r w:rsid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 Придбання сенсорів та помп для інсулінозалежних дітей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9B172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9298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ABB9E" w14:textId="77777777" w:rsidR="00CE6702" w:rsidRPr="006A0B12" w:rsidRDefault="002D5268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C703F" w14:textId="77777777" w:rsidR="00CE6702" w:rsidRPr="004F00DE" w:rsidRDefault="004F00DE" w:rsidP="004F00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4F00D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726,0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ADE2E" w14:textId="77777777" w:rsidR="00CE6702" w:rsidRPr="002E7A19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A5484" w14:textId="77777777" w:rsidR="00CE6702" w:rsidRPr="004F00DE" w:rsidRDefault="004F00DE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4F00D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276,0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92292" w14:textId="77777777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013FA" w14:textId="77777777" w:rsidR="00CE6702" w:rsidRDefault="00CE670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A6332" w:rsidRPr="00CF0EA3" w14:paraId="69B807CE" w14:textId="77777777" w:rsidTr="006B003D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F117FE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2694E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на підтримку медицини в 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E9CBE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002D5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98F1B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3BD9A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D78AA" w14:textId="77777777" w:rsidR="00DA6332" w:rsidRPr="005C659D" w:rsidRDefault="005C659D" w:rsidP="005C65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5C659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5936,2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AE2AE" w14:textId="77777777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70DA4" w14:textId="77777777" w:rsidR="00DA6332" w:rsidRPr="000C4599" w:rsidRDefault="005C659D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2430,2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34404" w14:textId="77777777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51575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4DF518B2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функціонування лікувальних </w:t>
                  </w:r>
                </w:p>
                <w:p w14:paraId="4EC153C8" w14:textId="77777777" w:rsidR="00DA6332" w:rsidRPr="006A0B12" w:rsidRDefault="00280C6A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</w:tc>
            </w:tr>
          </w:tbl>
          <w:p w14:paraId="5410561B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48F1" w:rsidRPr="00765431" w14:paraId="322A6188" w14:textId="77777777" w:rsidTr="00AA3C8D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2F4D29CF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29" w:type="dxa"/>
            <w:vMerge w:val="restart"/>
          </w:tcPr>
          <w:p w14:paraId="3E49C7DC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 технічної бази закладів охорони здоров’я</w:t>
            </w:r>
          </w:p>
        </w:tc>
        <w:tc>
          <w:tcPr>
            <w:tcW w:w="2835" w:type="dxa"/>
          </w:tcPr>
          <w:p w14:paraId="2F851EB6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 Проведення капітального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приміщеннь</w:t>
            </w:r>
            <w:proofErr w:type="spellEnd"/>
          </w:p>
          <w:p w14:paraId="20F7F327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виготовлення ПКД (коригування) за об’єктом: «Капітальний ремонт (заходи енергозбереження) будівлі КП « Козятинський МЦ ПМСД» за адресою : </w:t>
            </w:r>
          </w:p>
          <w:p w14:paraId="6337DA22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Козятин, вул. Незалежності 75)</w:t>
            </w:r>
          </w:p>
          <w:p w14:paraId="70B848AE" w14:textId="77777777" w:rsidR="001A48F1" w:rsidRPr="00CF0EA3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8C91E7D" w14:textId="77777777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06A3952E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DBD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4C9EAB2D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7E19B04A" w14:textId="77777777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134" w:type="dxa"/>
          </w:tcPr>
          <w:p w14:paraId="3A8D0A02" w14:textId="77777777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276" w:type="dxa"/>
          </w:tcPr>
          <w:p w14:paraId="4FC5C3C5" w14:textId="77777777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0F43C9F" w14:textId="77777777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64C69AB8" w14:textId="777777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05CA961A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1EEC6C56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6F04CF1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68AB4BA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4.2. Проведення поточного ремонту приміщень: </w:t>
            </w:r>
          </w:p>
          <w:p w14:paraId="3243FCB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Махаринці, </w:t>
            </w:r>
          </w:p>
          <w:p w14:paraId="7543CF33" w14:textId="77777777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Кордишівка,</w:t>
            </w:r>
          </w:p>
          <w:p w14:paraId="4570D0FC" w14:textId="77777777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446">
              <w:rPr>
                <w:rFonts w:ascii="Times New Roman" w:hAnsi="Times New Roman"/>
                <w:sz w:val="24"/>
                <w:szCs w:val="24"/>
                <w:lang w:val="uk-UA"/>
              </w:rPr>
              <w:t>ФП с. Флоріанівка</w:t>
            </w:r>
            <w:r w:rsidR="005C659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40E3E53" w14:textId="77777777" w:rsidR="005C659D" w:rsidRDefault="005C659D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ФП с. Сигнал, </w:t>
            </w:r>
          </w:p>
          <w:p w14:paraId="0179A36A" w14:textId="77777777" w:rsidR="005C659D" w:rsidRDefault="005C659D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ФП 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Титусівка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</w:p>
          <w:p w14:paraId="327EC1E5" w14:textId="77777777" w:rsidR="005C659D" w:rsidRDefault="005C659D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ФП с. Іванківці,</w:t>
            </w:r>
          </w:p>
          <w:p w14:paraId="43E1445C" w14:textId="77777777" w:rsidR="005C659D" w:rsidRDefault="005C659D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ФП с. Сокілець,</w:t>
            </w:r>
          </w:p>
          <w:p w14:paraId="34085E6B" w14:textId="77777777" w:rsidR="005C659D" w:rsidRDefault="005C659D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Медичний пункт с. Залізничне,</w:t>
            </w:r>
          </w:p>
          <w:p w14:paraId="401AFAB3" w14:textId="77777777" w:rsidR="005C659D" w:rsidRPr="005C659D" w:rsidRDefault="005C659D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АЗПСМ м. Козятин</w:t>
            </w:r>
          </w:p>
          <w:p w14:paraId="661077F9" w14:textId="77777777" w:rsidR="001A48F1" w:rsidRPr="00F11202" w:rsidRDefault="001A48F1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0D76838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02C6013E" w14:textId="77777777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012A534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FC9CDFE" w14:textId="77777777" w:rsidR="001A48F1" w:rsidRPr="005C659D" w:rsidRDefault="005C659D" w:rsidP="005C65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65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1A48F1" w:rsidRPr="005C65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0BF07C23" w14:textId="77777777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276" w:type="dxa"/>
          </w:tcPr>
          <w:p w14:paraId="23D6FC8B" w14:textId="77777777" w:rsidR="001A48F1" w:rsidRPr="005C659D" w:rsidRDefault="005C659D" w:rsidP="00796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C65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  <w:r w:rsidR="001A48F1" w:rsidRPr="005C65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5C65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09A33252" w14:textId="77777777" w:rsidR="001A48F1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54CE34C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08745C8C" w14:textId="77777777" w:rsidTr="00AA3C8D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47ED099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6B95846D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20627A2" w14:textId="77777777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 Придбання матеріалів, будівельних матеріалів, інвентарю та інструментів для проведення ремонтних робіт господарським способом: 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ФП с. Махар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212B4A32" w14:textId="77777777" w:rsidR="001A48F1" w:rsidRDefault="001A48F1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CA7F71">
              <w:rPr>
                <w:rFonts w:ascii="Times New Roman" w:hAnsi="Times New Roman"/>
                <w:sz w:val="24"/>
                <w:szCs w:val="24"/>
                <w:lang w:val="uk-UA"/>
              </w:rPr>
              <w:t>естринівка</w:t>
            </w:r>
            <w:proofErr w:type="spellEnd"/>
            <w:r w:rsidR="00CA7F71"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Кордишівка,</w:t>
            </w:r>
          </w:p>
          <w:p w14:paraId="14CA1990" w14:textId="77777777" w:rsidR="001A48F1" w:rsidRDefault="00CA7F71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ФП с. Флоріанівка</w:t>
            </w:r>
            <w:r w:rsidR="00CD0E0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28436209" w14:textId="77777777" w:rsidR="00CD0E02" w:rsidRDefault="00CD0E02" w:rsidP="00CD0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ФП с. Сигнал, </w:t>
            </w:r>
          </w:p>
          <w:p w14:paraId="3C14BA01" w14:textId="77777777" w:rsidR="00CD0E02" w:rsidRDefault="00CD0E02" w:rsidP="00CD0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ФП 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Титусівка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</w:p>
          <w:p w14:paraId="02307DD3" w14:textId="77777777" w:rsidR="00CD0E02" w:rsidRDefault="00CD0E02" w:rsidP="00CD0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ФП с. Іванківці,</w:t>
            </w:r>
          </w:p>
          <w:p w14:paraId="1957C9BE" w14:textId="77777777" w:rsidR="00CD0E02" w:rsidRDefault="00CD0E02" w:rsidP="00CD0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ФП с. Сокілець,</w:t>
            </w:r>
          </w:p>
          <w:p w14:paraId="57E33971" w14:textId="77777777" w:rsidR="00CD0E02" w:rsidRDefault="00CD0E02" w:rsidP="00CD0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Медичний пункт с. Залізничне,</w:t>
            </w:r>
          </w:p>
          <w:p w14:paraId="431F9677" w14:textId="77777777" w:rsidR="00CD0E02" w:rsidRPr="005C659D" w:rsidRDefault="00CD0E02" w:rsidP="00CD0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АЗПСМ м. Козятин</w:t>
            </w:r>
          </w:p>
          <w:p w14:paraId="2DDC3B15" w14:textId="77777777" w:rsidR="00CD0E02" w:rsidRPr="00667AFC" w:rsidRDefault="00CD0E02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4D36506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CD7938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544C2D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F4AA78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3CA60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BAD5C8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A80EB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49004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69DA647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6900A18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841603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14928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45B3D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0FEE9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409090" w14:textId="77777777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41F6B44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306E40E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0BD0AE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590F9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B830D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36237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FB35AA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646A5D6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54A59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D6130BA" w14:textId="77777777" w:rsidR="001A48F1" w:rsidRPr="00146529" w:rsidRDefault="00146529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2497231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2AFDA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52D67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DFBC19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3FB16C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86731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F95686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4793C7A" w14:textId="77777777" w:rsidR="001A48F1" w:rsidRPr="00CF0EA3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A12007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3FA7CD0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70BD64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1E5BE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B7833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31522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028BFF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582F1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0130AC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59052F9" w14:textId="77777777" w:rsidR="001A48F1" w:rsidRPr="002E7A19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CCBF19A" w14:textId="77777777" w:rsidR="001A48F1" w:rsidRPr="00146529" w:rsidRDefault="00146529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52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27005DF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420947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0ED19CA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030B7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6DB86BC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CCA99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93969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0525A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8248B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E2D690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5F2320BC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ABBB6A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41B9A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7C4E4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D4CBD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9DF31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782B0D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BC6DD8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72D718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356896F7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0539F4F6" w14:textId="77777777" w:rsidTr="00D4727C">
        <w:trPr>
          <w:gridAfter w:val="1"/>
          <w:wAfter w:w="83" w:type="dxa"/>
          <w:trHeight w:val="699"/>
        </w:trPr>
        <w:tc>
          <w:tcPr>
            <w:tcW w:w="537" w:type="dxa"/>
            <w:vMerge/>
          </w:tcPr>
          <w:p w14:paraId="730F2007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264C9D16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433283C" w14:textId="77777777" w:rsidR="00C5375E" w:rsidRPr="00667AFC" w:rsidRDefault="00C5375E" w:rsidP="00C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Виготовлення інженерно-геодезичних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вишукань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топографо-геодезичних зйомок М1:500 по об’єкту: «Капітальний ремонт зони благоустрою біля КП « Козятинський МЦ ПМСД» за адресою </w:t>
            </w:r>
          </w:p>
          <w:p w14:paraId="199B7E6F" w14:textId="77777777" w:rsidR="00C5375E" w:rsidRPr="00667AFC" w:rsidRDefault="00C5375E" w:rsidP="00C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Козятин, вул. Незалежності 75 з створенням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та соціальної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парковки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14:paraId="7D4E2CB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B16FBE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BCB351E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C1BC6E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669D9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7B90E6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69C5F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DC0140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028C56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2729A90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465C9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5BE28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0E39A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6C7532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CDC694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C47D33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0A7EA85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0CF6C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463528E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6308D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583371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BA6D7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C071C6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D9FDB3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0E6AB26" w14:textId="77777777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34" w:type="dxa"/>
          </w:tcPr>
          <w:p w14:paraId="1C409298" w14:textId="77777777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76" w:type="dxa"/>
          </w:tcPr>
          <w:p w14:paraId="74449720" w14:textId="77777777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6669287" w14:textId="77777777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280FE7BD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009ECBBB" w14:textId="77777777" w:rsidTr="00161DC2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1B7736CB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477DD0C7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0BF43A0" w14:textId="77777777" w:rsidR="0054024C" w:rsidRPr="00667AFC" w:rsidRDefault="00C5375E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4.5. Виготовлення проектно-кошторисної документації</w:t>
            </w:r>
            <w:r w:rsidR="0054024C"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(стадія «Робочий проект») та проведення експертизи кошторисної частини документації по об’єкту: «Капітальний ремонт зони благоустрою біля КП « Козятинський МЦ ПМСД» за адресою </w:t>
            </w:r>
          </w:p>
          <w:p w14:paraId="04922918" w14:textId="77777777" w:rsidR="00C5375E" w:rsidRPr="00667AFC" w:rsidRDefault="0054024C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Козятин, вул. Незалежності 75 з створенням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та соціальної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парковки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14:paraId="763F3AA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2B94C8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BA355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9DBB3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2376E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094906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7459C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A59831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BCC424E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36186E2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466A0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5EF15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F5DDCDD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EEEFBF3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144882D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D28D33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723C50B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F0F42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D3C2F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2EAE05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ADFB7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95008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7426EB8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A9E78B6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C89BF4D" w14:textId="77777777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34" w:type="dxa"/>
          </w:tcPr>
          <w:p w14:paraId="0B7CB701" w14:textId="77777777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276" w:type="dxa"/>
          </w:tcPr>
          <w:p w14:paraId="4A856686" w14:textId="77777777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ABAEF41" w14:textId="77777777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707982E0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B7199D" w:rsidRPr="00CF0EA3" w14:paraId="26275ACB" w14:textId="77777777" w:rsidTr="00EA0C4A">
        <w:trPr>
          <w:gridAfter w:val="1"/>
          <w:wAfter w:w="83" w:type="dxa"/>
          <w:trHeight w:val="1971"/>
        </w:trPr>
        <w:tc>
          <w:tcPr>
            <w:tcW w:w="537" w:type="dxa"/>
            <w:vMerge w:val="restart"/>
            <w:tcBorders>
              <w:top w:val="nil"/>
            </w:tcBorders>
          </w:tcPr>
          <w:p w14:paraId="66FA7E40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14:paraId="32CA5BBB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82DEB41" w14:textId="77777777" w:rsidR="00B7199D" w:rsidRPr="00DA68A5" w:rsidRDefault="00B7199D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64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4.6. Придбання пристроїв безперебійного живлення, акумуляторних батарей,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матеріально-технічного оснащення</w:t>
            </w:r>
          </w:p>
        </w:tc>
        <w:tc>
          <w:tcPr>
            <w:tcW w:w="1134" w:type="dxa"/>
          </w:tcPr>
          <w:p w14:paraId="34A6D9AE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FF9C378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CCDBF0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1E5E13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0C0194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A55C37" w14:textId="77777777" w:rsidR="00B7199D" w:rsidRPr="00667AFC" w:rsidRDefault="00B7199D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6CF6E77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6ECDA5D1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5F33EA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5794E9" w14:textId="77777777" w:rsidR="00B7199D" w:rsidRPr="00667AFC" w:rsidRDefault="00B7199D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FF8A6FB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712ABA3B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375B7A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BD1C7A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6FA6743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58413F" w14:textId="77777777" w:rsidR="00B7199D" w:rsidRPr="00667AFC" w:rsidRDefault="00B7199D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7CBC170" w14:textId="77777777" w:rsidR="00B7199D" w:rsidRPr="00BE6B7B" w:rsidRDefault="00BE6B7B" w:rsidP="006D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134" w:type="dxa"/>
          </w:tcPr>
          <w:p w14:paraId="6EC8BE53" w14:textId="77777777" w:rsidR="00B7199D" w:rsidRPr="006D647B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647B"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276" w:type="dxa"/>
          </w:tcPr>
          <w:p w14:paraId="263A71C9" w14:textId="77777777" w:rsidR="00B7199D" w:rsidRPr="00BE6B7B" w:rsidRDefault="00BE6B7B" w:rsidP="006D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B2BFAC5" w14:textId="77777777" w:rsidR="00B7199D" w:rsidRPr="00667AFC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 w:val="restart"/>
          </w:tcPr>
          <w:p w14:paraId="51402DBC" w14:textId="77777777" w:rsidR="00B7199D" w:rsidRPr="00667AFC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CD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B7199D" w:rsidRPr="00DA68A5" w14:paraId="4CA3BE5F" w14:textId="77777777" w:rsidTr="00FB3AC0">
        <w:trPr>
          <w:gridAfter w:val="1"/>
          <w:wAfter w:w="83" w:type="dxa"/>
          <w:trHeight w:val="1196"/>
        </w:trPr>
        <w:tc>
          <w:tcPr>
            <w:tcW w:w="537" w:type="dxa"/>
            <w:vMerge/>
          </w:tcPr>
          <w:p w14:paraId="4ED2DAE3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0A2418B3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25D44386" w14:textId="77777777" w:rsidR="00B7199D" w:rsidRPr="006D647B" w:rsidRDefault="00B7199D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647B">
              <w:rPr>
                <w:rFonts w:ascii="Times New Roman" w:hAnsi="Times New Roman"/>
                <w:sz w:val="24"/>
                <w:szCs w:val="24"/>
                <w:lang w:val="uk-UA"/>
              </w:rPr>
              <w:t>4.7. Придбання матеріалів для благоустрою території</w:t>
            </w:r>
          </w:p>
        </w:tc>
        <w:tc>
          <w:tcPr>
            <w:tcW w:w="1134" w:type="dxa"/>
          </w:tcPr>
          <w:p w14:paraId="5B2F43DE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F4B93D5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7339B4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799ABD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0321129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4BC93D31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023D5ED7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076C1003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AEF585" w14:textId="77777777" w:rsidR="00B7199D" w:rsidRPr="00667AFC" w:rsidRDefault="00B7199D" w:rsidP="00D56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0DC326" w14:textId="77777777" w:rsidR="00B7199D" w:rsidRPr="00667AFC" w:rsidRDefault="00B7199D" w:rsidP="00B1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104838A" w14:textId="77777777" w:rsidR="00B7199D" w:rsidRPr="00A75CDD" w:rsidRDefault="000E23A5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69,9</w:t>
            </w:r>
          </w:p>
        </w:tc>
        <w:tc>
          <w:tcPr>
            <w:tcW w:w="1134" w:type="dxa"/>
          </w:tcPr>
          <w:p w14:paraId="45370CFD" w14:textId="77777777" w:rsidR="00B7199D" w:rsidRPr="006D647B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647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76" w:type="dxa"/>
          </w:tcPr>
          <w:p w14:paraId="6BFA272A" w14:textId="77777777" w:rsidR="00B7199D" w:rsidRDefault="000E23A5" w:rsidP="006D6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19,9</w:t>
            </w:r>
          </w:p>
        </w:tc>
        <w:tc>
          <w:tcPr>
            <w:tcW w:w="1276" w:type="dxa"/>
          </w:tcPr>
          <w:p w14:paraId="76BD6D9E" w14:textId="77777777" w:rsidR="00B7199D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5C232DDF" w14:textId="77777777" w:rsidR="00B7199D" w:rsidRPr="00A75CD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199D" w:rsidRPr="00DA68A5" w14:paraId="29A32A12" w14:textId="77777777" w:rsidTr="00EA0C4A">
        <w:trPr>
          <w:gridAfter w:val="1"/>
          <w:wAfter w:w="83" w:type="dxa"/>
          <w:trHeight w:val="1713"/>
        </w:trPr>
        <w:tc>
          <w:tcPr>
            <w:tcW w:w="537" w:type="dxa"/>
            <w:vMerge/>
          </w:tcPr>
          <w:p w14:paraId="40CB0DBD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48DAF396" w14:textId="77777777" w:rsidR="00B7199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2BF98DD" w14:textId="77777777" w:rsidR="00B7199D" w:rsidRDefault="00B7199D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10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4.8. Придбання обладнання і предметів довгострокового користування</w:t>
            </w:r>
          </w:p>
          <w:p w14:paraId="5B5801D1" w14:textId="77777777" w:rsidR="00EA0C4A" w:rsidRDefault="00EA0C4A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A4A9D38" w14:textId="77777777" w:rsidR="00EA0C4A" w:rsidRPr="00EA0C4A" w:rsidRDefault="00EA0C4A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B7E5591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8A58EEB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688EEF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403E31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B9EAFB2" w14:textId="77777777" w:rsidR="00B7199D" w:rsidRPr="00667AFC" w:rsidRDefault="00B7199D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1C72DF6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213AF83B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51BC4F" w14:textId="77777777" w:rsidR="00B7199D" w:rsidRPr="00667AFC" w:rsidRDefault="00B7199D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0B20A79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5948B3D3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2786C2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869A9E6" w14:textId="77777777" w:rsidR="00B7199D" w:rsidRPr="00667AFC" w:rsidRDefault="00B7199D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A7CC33" w14:textId="77777777" w:rsidR="00B7199D" w:rsidRPr="00667AFC" w:rsidRDefault="00B7199D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8518CBB" w14:textId="77777777" w:rsidR="00B7199D" w:rsidRDefault="000E23A5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1360,0</w:t>
            </w:r>
          </w:p>
          <w:p w14:paraId="0B90B15C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8F0DE94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B97AA88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4760A48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75550F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34CDF50" w14:textId="77777777" w:rsidR="00B7199D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671FE91C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3ECA7C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EAE5CA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7E620F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848D99" w14:textId="77777777" w:rsidR="00EA0C4A" w:rsidRPr="006D647B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239109A" w14:textId="77777777" w:rsidR="00B7199D" w:rsidRDefault="000E23A5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1360,0</w:t>
            </w:r>
          </w:p>
          <w:p w14:paraId="123EE4FA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1E2F635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B0C0940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7CBA65B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AB9BD2F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29BA2E4" w14:textId="77777777" w:rsidR="00B7199D" w:rsidRDefault="00B7199D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37C4F778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568CFD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6B89F3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97E00F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7B5C71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1962F58" w14:textId="77777777" w:rsidR="00B7199D" w:rsidRPr="00A75CDD" w:rsidRDefault="00B7199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C4A" w:rsidRPr="00DA68A5" w14:paraId="440FD4CB" w14:textId="77777777" w:rsidTr="00EA0C4A">
        <w:trPr>
          <w:gridAfter w:val="1"/>
          <w:wAfter w:w="83" w:type="dxa"/>
          <w:trHeight w:val="1046"/>
        </w:trPr>
        <w:tc>
          <w:tcPr>
            <w:tcW w:w="537" w:type="dxa"/>
          </w:tcPr>
          <w:p w14:paraId="7391CBFA" w14:textId="77777777" w:rsidR="00EA0C4A" w:rsidRDefault="00EA0C4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</w:tcPr>
          <w:p w14:paraId="3B4B350D" w14:textId="77777777" w:rsidR="00EA0C4A" w:rsidRDefault="00EA0C4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F3EF7AF" w14:textId="77777777" w:rsidR="00EA0C4A" w:rsidRDefault="00EA0C4A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DB0C4BF" w14:textId="77777777" w:rsidR="00EA0C4A" w:rsidRDefault="00EA0C4A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178BADD" w14:textId="77777777" w:rsidR="00EA0C4A" w:rsidRPr="009D107A" w:rsidRDefault="00EA0C4A" w:rsidP="0054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4FA58434" w14:textId="77777777" w:rsidR="00EA0C4A" w:rsidRPr="00667AFC" w:rsidRDefault="00EA0C4A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BCDA984" w14:textId="77777777" w:rsidR="00EA0C4A" w:rsidRPr="00667AFC" w:rsidRDefault="00EA0C4A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3BECF2A3" w14:textId="77777777" w:rsidR="00EA0C4A" w:rsidRPr="00667AFC" w:rsidRDefault="00EA0C4A" w:rsidP="00D80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252E36" w14:textId="77777777" w:rsidR="00EA0C4A" w:rsidRPr="00667AFC" w:rsidRDefault="00EA0C4A" w:rsidP="00D809B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96A7CAD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53DAF05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A70392B" w14:textId="77777777" w:rsidR="00EA0C4A" w:rsidRDefault="00865B82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21430,35</w:t>
            </w:r>
          </w:p>
        </w:tc>
        <w:tc>
          <w:tcPr>
            <w:tcW w:w="1134" w:type="dxa"/>
          </w:tcPr>
          <w:p w14:paraId="7E4E051A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26B886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281ACBE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7508,25</w:t>
            </w:r>
          </w:p>
          <w:p w14:paraId="73CCDA79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4E65210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2E6FE43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2B530FF" w14:textId="77777777" w:rsidR="00EA0C4A" w:rsidRDefault="00865B82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8327,6</w:t>
            </w:r>
          </w:p>
          <w:p w14:paraId="0C258C9E" w14:textId="77777777" w:rsidR="00EA0C4A" w:rsidRDefault="00EA0C4A" w:rsidP="006D6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790450B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B580F4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20CED6" w14:textId="77777777" w:rsidR="00EA0C4A" w:rsidRDefault="00EA0C4A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985" w:type="dxa"/>
          </w:tcPr>
          <w:p w14:paraId="0FAB9214" w14:textId="77777777" w:rsidR="00EA0C4A" w:rsidRPr="00A75CDD" w:rsidRDefault="00EA0C4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107A" w:rsidRPr="00CF0EA3" w14:paraId="3DE71DDF" w14:textId="77777777" w:rsidTr="00AA3C8D">
        <w:trPr>
          <w:gridAfter w:val="1"/>
          <w:wAfter w:w="83" w:type="dxa"/>
          <w:trHeight w:val="720"/>
        </w:trPr>
        <w:tc>
          <w:tcPr>
            <w:tcW w:w="16133" w:type="dxa"/>
            <w:gridSpan w:val="11"/>
          </w:tcPr>
          <w:p w14:paraId="2E634D2F" w14:textId="77777777" w:rsidR="009D107A" w:rsidRPr="00CF0EA3" w:rsidRDefault="009D107A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294CAF5" w14:textId="77777777" w:rsidR="009D107A" w:rsidRDefault="009D107A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13AEC67" w14:textId="77777777" w:rsidR="009D107A" w:rsidRPr="00CF0EA3" w:rsidRDefault="009D107A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1C8BE544" w14:textId="77777777" w:rsidR="009D107A" w:rsidRPr="00CF0EA3" w:rsidRDefault="009D107A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107A" w:rsidRPr="00CF0EA3" w14:paraId="6C90F447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 w:val="restart"/>
          </w:tcPr>
          <w:p w14:paraId="6671C861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211F4F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9" w:type="dxa"/>
            <w:vMerge w:val="restart"/>
          </w:tcPr>
          <w:p w14:paraId="2FBAED05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835" w:type="dxa"/>
          </w:tcPr>
          <w:p w14:paraId="3123B20F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1134" w:type="dxa"/>
          </w:tcPr>
          <w:p w14:paraId="4172A9BD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-2027 р.р.</w:t>
            </w:r>
          </w:p>
        </w:tc>
        <w:tc>
          <w:tcPr>
            <w:tcW w:w="1276" w:type="dxa"/>
          </w:tcPr>
          <w:p w14:paraId="66E68BA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5887743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F5406E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99A34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67450,0</w:t>
            </w:r>
          </w:p>
        </w:tc>
        <w:tc>
          <w:tcPr>
            <w:tcW w:w="1134" w:type="dxa"/>
          </w:tcPr>
          <w:p w14:paraId="5219F96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8245CD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20143,1</w:t>
            </w:r>
          </w:p>
        </w:tc>
        <w:tc>
          <w:tcPr>
            <w:tcW w:w="1276" w:type="dxa"/>
          </w:tcPr>
          <w:p w14:paraId="25BCB1B3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F9ECE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22399,1</w:t>
            </w:r>
          </w:p>
        </w:tc>
        <w:tc>
          <w:tcPr>
            <w:tcW w:w="1276" w:type="dxa"/>
          </w:tcPr>
          <w:p w14:paraId="590241B1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69F131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24907,8</w:t>
            </w:r>
          </w:p>
        </w:tc>
        <w:tc>
          <w:tcPr>
            <w:tcW w:w="1985" w:type="dxa"/>
            <w:vMerge w:val="restart"/>
          </w:tcPr>
          <w:p w14:paraId="5FAC59DB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7200141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1018B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D107A" w:rsidRPr="00CF0EA3" w14:paraId="35B6BE17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0FF832CB" w14:textId="77777777" w:rsidR="009D107A" w:rsidRPr="008E3320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FC157E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7564807" w14:textId="77777777" w:rsidR="009D107A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1.2. Придбання медикаментів та виробів медичного призначення, окрім медикаментів передбачених державними медичними гарантіями, медичних меблів та інвентарю</w:t>
            </w:r>
          </w:p>
          <w:p w14:paraId="44163233" w14:textId="77777777" w:rsidR="003F11D6" w:rsidRPr="00CF0EA3" w:rsidRDefault="003F11D6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290998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-2027 р.р.</w:t>
            </w:r>
          </w:p>
        </w:tc>
        <w:tc>
          <w:tcPr>
            <w:tcW w:w="1276" w:type="dxa"/>
          </w:tcPr>
          <w:p w14:paraId="205EC96E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6F623E53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26FDED4A" w14:textId="77777777" w:rsidR="009D107A" w:rsidRPr="00C86C4B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17700,0</w:t>
            </w:r>
          </w:p>
        </w:tc>
        <w:tc>
          <w:tcPr>
            <w:tcW w:w="1134" w:type="dxa"/>
          </w:tcPr>
          <w:p w14:paraId="76850287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5800,0</w:t>
            </w:r>
          </w:p>
        </w:tc>
        <w:tc>
          <w:tcPr>
            <w:tcW w:w="1276" w:type="dxa"/>
          </w:tcPr>
          <w:p w14:paraId="67BEDC4B" w14:textId="77777777" w:rsidR="009D107A" w:rsidRPr="00C86C4B" w:rsidRDefault="009D107A" w:rsidP="00384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6200,0</w:t>
            </w:r>
          </w:p>
        </w:tc>
        <w:tc>
          <w:tcPr>
            <w:tcW w:w="1276" w:type="dxa"/>
          </w:tcPr>
          <w:p w14:paraId="20160EC7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5700,0</w:t>
            </w:r>
          </w:p>
        </w:tc>
        <w:tc>
          <w:tcPr>
            <w:tcW w:w="1985" w:type="dxa"/>
            <w:vMerge/>
          </w:tcPr>
          <w:p w14:paraId="0941A07E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7A" w:rsidRPr="00CF0EA3" w14:paraId="14316F6E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3EA75AA9" w14:textId="77777777" w:rsidR="009D107A" w:rsidRPr="008E3320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54DEB39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945BDC8" w14:textId="77777777" w:rsidR="009D107A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1.3. Придбання пального для транспортування військовослужбовців</w:t>
            </w:r>
          </w:p>
        </w:tc>
        <w:tc>
          <w:tcPr>
            <w:tcW w:w="1134" w:type="dxa"/>
          </w:tcPr>
          <w:p w14:paraId="538E4D7D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2025-2027 р.р.</w:t>
            </w:r>
          </w:p>
        </w:tc>
        <w:tc>
          <w:tcPr>
            <w:tcW w:w="1276" w:type="dxa"/>
          </w:tcPr>
          <w:p w14:paraId="153F983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5" w:type="dxa"/>
          </w:tcPr>
          <w:p w14:paraId="43BF4DB9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D158096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80,6</w:t>
            </w:r>
          </w:p>
        </w:tc>
        <w:tc>
          <w:tcPr>
            <w:tcW w:w="1134" w:type="dxa"/>
          </w:tcPr>
          <w:p w14:paraId="5CF2ADD1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30,6</w:t>
            </w:r>
          </w:p>
        </w:tc>
        <w:tc>
          <w:tcPr>
            <w:tcW w:w="1276" w:type="dxa"/>
          </w:tcPr>
          <w:p w14:paraId="65031506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76" w:type="dxa"/>
          </w:tcPr>
          <w:p w14:paraId="424A68D0" w14:textId="77777777" w:rsidR="009D107A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3BA3C10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7A" w:rsidRPr="00CF0EA3" w14:paraId="3A3915C1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478C9DC9" w14:textId="77777777" w:rsidR="009D107A" w:rsidRPr="008E3320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788E052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B68A0E6" w14:textId="77777777" w:rsidR="009D107A" w:rsidRPr="00C86C4B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1.4. Придбання вакцини для щеплення за епідемічними показниками</w:t>
            </w:r>
          </w:p>
        </w:tc>
        <w:tc>
          <w:tcPr>
            <w:tcW w:w="1134" w:type="dxa"/>
          </w:tcPr>
          <w:p w14:paraId="77F1A1F2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C4B">
              <w:rPr>
                <w:rFonts w:ascii="Times New Roman" w:hAnsi="Times New Roman"/>
                <w:sz w:val="24"/>
                <w:szCs w:val="24"/>
              </w:rPr>
              <w:t>2025-2027 р.р.</w:t>
            </w:r>
          </w:p>
        </w:tc>
        <w:tc>
          <w:tcPr>
            <w:tcW w:w="1276" w:type="dxa"/>
          </w:tcPr>
          <w:p w14:paraId="0BDEADA3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C4B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C86C4B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C86C4B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5" w:type="dxa"/>
          </w:tcPr>
          <w:p w14:paraId="78B80F44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82EA7BA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1100,0</w:t>
            </w:r>
          </w:p>
        </w:tc>
        <w:tc>
          <w:tcPr>
            <w:tcW w:w="1134" w:type="dxa"/>
          </w:tcPr>
          <w:p w14:paraId="40E56682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276" w:type="dxa"/>
          </w:tcPr>
          <w:p w14:paraId="3B9A5E32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276" w:type="dxa"/>
          </w:tcPr>
          <w:p w14:paraId="2C1C7D41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985" w:type="dxa"/>
            <w:vMerge/>
          </w:tcPr>
          <w:p w14:paraId="5BFDFF54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07A" w:rsidRPr="00CF0EA3" w14:paraId="1FF6C717" w14:textId="77777777" w:rsidTr="003272E1">
        <w:trPr>
          <w:gridAfter w:val="1"/>
          <w:wAfter w:w="83" w:type="dxa"/>
          <w:trHeight w:val="699"/>
        </w:trPr>
        <w:tc>
          <w:tcPr>
            <w:tcW w:w="537" w:type="dxa"/>
            <w:vMerge w:val="restart"/>
          </w:tcPr>
          <w:p w14:paraId="3B04579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9" w:type="dxa"/>
            <w:vMerge w:val="restart"/>
          </w:tcPr>
          <w:p w14:paraId="30A12AD3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матеріально-технічної бази закладів охорони здоров’я</w:t>
            </w:r>
          </w:p>
        </w:tc>
        <w:tc>
          <w:tcPr>
            <w:tcW w:w="2835" w:type="dxa"/>
          </w:tcPr>
          <w:p w14:paraId="31F4BADE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Проведення  капітального ремонту  приміщень лікарні. </w:t>
            </w:r>
          </w:p>
          <w:p w14:paraId="14B1A4CD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0C1141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FEE114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D767C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F87520D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0563C938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602B0CA2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9091E5" w14:textId="77777777" w:rsidR="009D107A" w:rsidRPr="00CF0EA3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3B39DF60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363B2FFB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7AC7C50" w14:textId="77777777" w:rsidR="009D107A" w:rsidRPr="003C1835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4F29D184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57A799" w14:textId="77777777" w:rsidR="009D107A" w:rsidRPr="003C1835" w:rsidRDefault="009D107A" w:rsidP="009C0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47C5489C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67F7311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276" w:type="dxa"/>
          </w:tcPr>
          <w:p w14:paraId="126E50AF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1A06A4" w14:textId="77777777" w:rsidR="009D107A" w:rsidRPr="003C1835" w:rsidRDefault="009D107A" w:rsidP="009C0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</w:tcPr>
          <w:p w14:paraId="5A7D9CD7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9D107A" w:rsidRPr="00CF0EA3" w14:paraId="1DE4E3F5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59406ECF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17E7D08C" w14:textId="77777777" w:rsidR="009D107A" w:rsidRPr="00CF0EA3" w:rsidRDefault="009D107A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33383A11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0F18624A" w14:textId="77777777" w:rsidR="009D107A" w:rsidRPr="00CF0EA3" w:rsidRDefault="009D107A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57F68A1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</w:t>
            </w:r>
          </w:p>
          <w:p w14:paraId="73DDC7B8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1E43D8E1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BE3ED1B" w14:textId="77777777" w:rsidR="009D107A" w:rsidRPr="00CF0EA3" w:rsidRDefault="009D107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КП «Козятинська </w:t>
            </w:r>
            <w:r w:rsidRPr="00CF0EA3">
              <w:rPr>
                <w:rStyle w:val="FontStyle11"/>
                <w:sz w:val="24"/>
                <w:szCs w:val="24"/>
                <w:lang w:val="uk-UA"/>
              </w:rPr>
              <w:lastRenderedPageBreak/>
              <w:t>ЦРЛ»</w:t>
            </w:r>
          </w:p>
          <w:p w14:paraId="620BF594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FD9279F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276" w:type="dxa"/>
          </w:tcPr>
          <w:p w14:paraId="48D1FE70" w14:textId="77777777" w:rsidR="009D107A" w:rsidRPr="003C1835" w:rsidRDefault="009D107A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B1AFC4F" w14:textId="77777777" w:rsidR="009D107A" w:rsidRPr="003C1835" w:rsidRDefault="009D107A" w:rsidP="003272E1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154E3293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F6FD01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276" w:type="dxa"/>
          </w:tcPr>
          <w:p w14:paraId="6554F3C4" w14:textId="77777777" w:rsidR="009D107A" w:rsidRPr="003C1835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188F55" w14:textId="77777777" w:rsidR="009D107A" w:rsidRPr="003C1835" w:rsidRDefault="009D107A" w:rsidP="00E81E81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276" w:type="dxa"/>
          </w:tcPr>
          <w:p w14:paraId="543F5D49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DEA9635" w14:textId="77777777" w:rsidR="009D107A" w:rsidRPr="003C1835" w:rsidRDefault="009D107A" w:rsidP="0032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</w:tcPr>
          <w:p w14:paraId="4B913D2E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обслуговування населення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</w:tr>
      <w:tr w:rsidR="009D107A" w:rsidRPr="00CF0EA3" w14:paraId="4F522BD7" w14:textId="77777777" w:rsidTr="00AA3C8D">
        <w:trPr>
          <w:gridAfter w:val="1"/>
          <w:wAfter w:w="83" w:type="dxa"/>
          <w:trHeight w:val="692"/>
        </w:trPr>
        <w:tc>
          <w:tcPr>
            <w:tcW w:w="537" w:type="dxa"/>
            <w:vMerge/>
          </w:tcPr>
          <w:p w14:paraId="7109E419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238098D5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73DFB3" w14:textId="77777777" w:rsidR="009D107A" w:rsidRPr="003272E1" w:rsidRDefault="009D107A" w:rsidP="009C04E7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sz w:val="24"/>
                <w:szCs w:val="24"/>
                <w:lang w:val="uk-UA"/>
              </w:rPr>
              <w:t>2.3.Придбання медичного та іншого обладнання, комп’ютерної техніки, обладнання для харчоблоку, стабілізатора напруги.</w:t>
            </w:r>
          </w:p>
        </w:tc>
        <w:tc>
          <w:tcPr>
            <w:tcW w:w="1134" w:type="dxa"/>
          </w:tcPr>
          <w:p w14:paraId="535991F8" w14:textId="77777777" w:rsidR="009D107A" w:rsidRPr="00CF0EA3" w:rsidRDefault="009D107A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2E41BCEC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276" w:type="dxa"/>
          </w:tcPr>
          <w:p w14:paraId="2AF97DCE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405C1A0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85F88B6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740C85DB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78174D" w14:textId="77777777" w:rsidR="009D107A" w:rsidRPr="00C86C4B" w:rsidRDefault="009D107A" w:rsidP="00667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14200,0</w:t>
            </w:r>
          </w:p>
        </w:tc>
        <w:tc>
          <w:tcPr>
            <w:tcW w:w="1134" w:type="dxa"/>
          </w:tcPr>
          <w:p w14:paraId="5D229872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3F4574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5500,0</w:t>
            </w:r>
          </w:p>
        </w:tc>
        <w:tc>
          <w:tcPr>
            <w:tcW w:w="1276" w:type="dxa"/>
          </w:tcPr>
          <w:p w14:paraId="7D58262A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BD0DD9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4200,0</w:t>
            </w:r>
          </w:p>
        </w:tc>
        <w:tc>
          <w:tcPr>
            <w:tcW w:w="1276" w:type="dxa"/>
          </w:tcPr>
          <w:p w14:paraId="24C90996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F818B78" w14:textId="77777777" w:rsidR="009D107A" w:rsidRPr="00C86C4B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sz w:val="24"/>
                <w:szCs w:val="24"/>
                <w:lang w:val="uk-UA"/>
              </w:rPr>
              <w:t>4500,0</w:t>
            </w:r>
          </w:p>
        </w:tc>
        <w:tc>
          <w:tcPr>
            <w:tcW w:w="1985" w:type="dxa"/>
          </w:tcPr>
          <w:p w14:paraId="37D05B7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9D107A" w:rsidRPr="00CF0EA3" w14:paraId="1464129A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1E68ACC0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30B80CD4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D0FB02" w14:textId="77777777" w:rsidR="009D107A" w:rsidRPr="003272E1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72E1">
              <w:rPr>
                <w:rFonts w:ascii="Times New Roman" w:hAnsi="Times New Roman"/>
                <w:sz w:val="24"/>
                <w:szCs w:val="24"/>
                <w:lang w:val="uk-UA"/>
              </w:rPr>
              <w:t>2.4.Придбання матеріалів, будівельних матеріалів, інвентарю та інструментів для проведення ремонтних робіт господарським способом, придбання меблів для медичного персоналу</w:t>
            </w:r>
          </w:p>
          <w:p w14:paraId="2F3A34F9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F059A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4656DA48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0D00E73B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76B38B90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0FDF7F1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1DB04C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  <w:p w14:paraId="3000FB9F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1DC74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183311E1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276" w:type="dxa"/>
          </w:tcPr>
          <w:p w14:paraId="7A41A001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A43A34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3159AFD6" w14:textId="77777777" w:rsidR="009D107A" w:rsidRPr="003C1835" w:rsidRDefault="009D107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58BB8181" w14:textId="77777777" w:rsidR="009D107A" w:rsidRPr="003C1835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985" w:type="dxa"/>
          </w:tcPr>
          <w:p w14:paraId="2C6406C2" w14:textId="77777777" w:rsidR="009D107A" w:rsidRPr="00CF0EA3" w:rsidRDefault="009D107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043348" w:rsidRPr="00CF0EA3" w14:paraId="0020CE26" w14:textId="77777777" w:rsidTr="00AA3C8D">
        <w:trPr>
          <w:gridAfter w:val="1"/>
          <w:wAfter w:w="83" w:type="dxa"/>
          <w:trHeight w:val="825"/>
        </w:trPr>
        <w:tc>
          <w:tcPr>
            <w:tcW w:w="537" w:type="dxa"/>
            <w:vMerge/>
          </w:tcPr>
          <w:p w14:paraId="5E2A546B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14:paraId="18F568BC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9BFC24D" w14:textId="77777777" w:rsidR="00043348" w:rsidRPr="00CF0EA3" w:rsidRDefault="00043348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 Реконструкція ліфта у Козятинській ЦРЛ (грант Вінницької обласної ради «Безпечні стійкі громади» у 2025 році.</w:t>
            </w:r>
          </w:p>
        </w:tc>
        <w:tc>
          <w:tcPr>
            <w:tcW w:w="1134" w:type="dxa"/>
            <w:vMerge w:val="restart"/>
          </w:tcPr>
          <w:p w14:paraId="6C8DBAD1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  <w:vMerge w:val="restart"/>
          </w:tcPr>
          <w:p w14:paraId="1444E2A2" w14:textId="77777777" w:rsidR="00043348" w:rsidRPr="00CF0EA3" w:rsidRDefault="0004334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31B71A53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879A1D7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D429E14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0FB75177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06BD00CD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1BD45F4A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 w:val="restart"/>
          </w:tcPr>
          <w:p w14:paraId="3D5850CE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043348" w:rsidRPr="00CF0EA3" w14:paraId="3CCFDBA9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</w:tcPr>
          <w:p w14:paraId="05913D15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2FE107BA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6F23C27" w14:textId="77777777" w:rsidR="00043348" w:rsidRDefault="0004334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75FA860F" w14:textId="77777777" w:rsidR="00043348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6F5E689" w14:textId="77777777" w:rsidR="00043348" w:rsidRPr="00CF0EA3" w:rsidRDefault="0004334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4299DDA0" w14:textId="77777777" w:rsidR="00043348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23D82462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6" w:type="dxa"/>
          </w:tcPr>
          <w:p w14:paraId="35F8949A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1C6998FC" w14:textId="77777777" w:rsidR="00043348" w:rsidRPr="00CF0EA3" w:rsidRDefault="00043348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1A1EC880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9FE9EE2" w14:textId="77777777" w:rsidR="00043348" w:rsidRPr="00CF0EA3" w:rsidRDefault="0004334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28220969" w14:textId="77777777" w:rsidR="00043348" w:rsidRPr="00CF0EA3" w:rsidRDefault="0004334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47DA" w:rsidRPr="00CF0EA3" w14:paraId="42AB3B18" w14:textId="77777777" w:rsidTr="00043348">
        <w:trPr>
          <w:gridAfter w:val="1"/>
          <w:wAfter w:w="83" w:type="dxa"/>
          <w:trHeight w:val="824"/>
        </w:trPr>
        <w:tc>
          <w:tcPr>
            <w:tcW w:w="537" w:type="dxa"/>
            <w:tcBorders>
              <w:top w:val="nil"/>
            </w:tcBorders>
          </w:tcPr>
          <w:p w14:paraId="0D2AA60F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383141C0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B43459" w14:textId="77777777" w:rsidR="000547DA" w:rsidRDefault="000547DA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2.6. Технічне обслуговування та проведення ремонтних робіт медичного обладнання</w:t>
            </w:r>
          </w:p>
        </w:tc>
        <w:tc>
          <w:tcPr>
            <w:tcW w:w="1134" w:type="dxa"/>
          </w:tcPr>
          <w:p w14:paraId="20490CC1" w14:textId="77777777" w:rsidR="000547DA" w:rsidRPr="00CF0EA3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2D7B1A76" w14:textId="77777777" w:rsidR="000547DA" w:rsidRPr="00CF0EA3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66B2EC3E" w14:textId="77777777" w:rsidR="000547DA" w:rsidRPr="00CF0EA3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91DFC62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0E683118" w14:textId="77777777" w:rsidR="000547DA" w:rsidRDefault="000547D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865,5</w:t>
            </w:r>
          </w:p>
        </w:tc>
        <w:tc>
          <w:tcPr>
            <w:tcW w:w="1134" w:type="dxa"/>
          </w:tcPr>
          <w:p w14:paraId="4E301200" w14:textId="77777777" w:rsidR="000547DA" w:rsidRDefault="000547DA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276" w:type="dxa"/>
          </w:tcPr>
          <w:p w14:paraId="252F7141" w14:textId="77777777" w:rsidR="000547DA" w:rsidRDefault="000547D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276" w:type="dxa"/>
          </w:tcPr>
          <w:p w14:paraId="281889A1" w14:textId="77777777" w:rsidR="000547DA" w:rsidRDefault="000547D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985" w:type="dxa"/>
            <w:vMerge/>
          </w:tcPr>
          <w:p w14:paraId="5064B61C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47DA" w:rsidRPr="00CF0EA3" w14:paraId="29444BCB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3E06E947" w14:textId="77777777" w:rsidR="000547DA" w:rsidRPr="00937D60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A300F4D" w14:textId="77777777" w:rsidR="000547DA" w:rsidRPr="00937D60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835" w:type="dxa"/>
          </w:tcPr>
          <w:p w14:paraId="10C7D3E5" w14:textId="77777777" w:rsidR="000547DA" w:rsidRPr="00CF0EA3" w:rsidRDefault="000547DA" w:rsidP="00B7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3.1.Погашення простроченої кредиторської заборгованості по заробітній платі за 2024 </w:t>
            </w:r>
          </w:p>
        </w:tc>
        <w:tc>
          <w:tcPr>
            <w:tcW w:w="1134" w:type="dxa"/>
          </w:tcPr>
          <w:p w14:paraId="5D18A047" w14:textId="77777777" w:rsidR="000547DA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4C9A474" w14:textId="77777777" w:rsidR="000547DA" w:rsidRPr="00CF0EA3" w:rsidRDefault="000547DA" w:rsidP="00497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6B6B5C2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7A678F1E" w14:textId="77777777" w:rsidR="000547DA" w:rsidRPr="00CF0EA3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</w:tcPr>
          <w:p w14:paraId="71EA6237" w14:textId="77777777" w:rsidR="000547DA" w:rsidRPr="00CF0EA3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276" w:type="dxa"/>
          </w:tcPr>
          <w:p w14:paraId="47C6BC9C" w14:textId="77777777" w:rsidR="000547DA" w:rsidRPr="005649D3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E3E846A" w14:textId="77777777" w:rsidR="000547DA" w:rsidRPr="00CF0EA3" w:rsidRDefault="000547DA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2F6AA4E2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0547DA" w:rsidRPr="00163626" w14:paraId="2DDA23C1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3C1C6E7B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9C74651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обслуговування населення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2835" w:type="dxa"/>
          </w:tcPr>
          <w:p w14:paraId="5CE15EE6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4.1. Покращення харчування дітей пільгових категорій:</w:t>
            </w:r>
          </w:p>
          <w:p w14:paraId="4D0296B7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Діти-сироти, діти позбавлені батьківського піклування, діти з малозабезпечених сімей, діти з сімей загиблих (померлих) ветеранів війни та сімей загиблих (померлих) Захисників і Захисниць України, діти внутрішньо переміщені, діти постраждалі внаслідок воєнних дій і збройних конфліктів.</w:t>
            </w:r>
          </w:p>
          <w:p w14:paraId="775CB94D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B3DC279" w14:textId="77777777" w:rsidR="000547DA" w:rsidRPr="00CF0EA3" w:rsidRDefault="000547DA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2025р.</w:t>
            </w:r>
          </w:p>
        </w:tc>
        <w:tc>
          <w:tcPr>
            <w:tcW w:w="1276" w:type="dxa"/>
          </w:tcPr>
          <w:p w14:paraId="4B5A6D67" w14:textId="77777777" w:rsidR="000547DA" w:rsidRPr="00CF0EA3" w:rsidRDefault="000547DA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«Козятинська </w:t>
            </w: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ЦРЛ»</w:t>
            </w:r>
          </w:p>
        </w:tc>
        <w:tc>
          <w:tcPr>
            <w:tcW w:w="1275" w:type="dxa"/>
          </w:tcPr>
          <w:p w14:paraId="6723F343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276" w:type="dxa"/>
          </w:tcPr>
          <w:p w14:paraId="6938524A" w14:textId="77777777" w:rsidR="000547DA" w:rsidRPr="005303CD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</w:tcPr>
          <w:p w14:paraId="30B9D1E0" w14:textId="77777777" w:rsidR="000547DA" w:rsidRPr="005303CD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30,2</w:t>
            </w:r>
          </w:p>
        </w:tc>
        <w:tc>
          <w:tcPr>
            <w:tcW w:w="1276" w:type="dxa"/>
          </w:tcPr>
          <w:p w14:paraId="63B554EA" w14:textId="77777777" w:rsidR="000547DA" w:rsidRDefault="000547DA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E878D58" w14:textId="77777777" w:rsidR="000547DA" w:rsidRDefault="000547DA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714637DE" w14:textId="77777777" w:rsidR="000547DA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F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умов перебування </w:t>
            </w:r>
            <w:r w:rsidRPr="002B7FC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хворих</w:t>
            </w:r>
          </w:p>
        </w:tc>
      </w:tr>
      <w:tr w:rsidR="000547DA" w:rsidRPr="00CF0EA3" w14:paraId="14289D98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nil"/>
            </w:tcBorders>
          </w:tcPr>
          <w:p w14:paraId="249A705E" w14:textId="77777777" w:rsidR="000547DA" w:rsidRPr="00163626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14:paraId="53D5840A" w14:textId="77777777" w:rsidR="000547DA" w:rsidRPr="00163626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41374ED2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01D7AA4E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9AD27E9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2E0EA9E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9957920" w14:textId="77777777" w:rsidR="000547DA" w:rsidRPr="00C6277F" w:rsidRDefault="000547DA" w:rsidP="006B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sz w:val="24"/>
                <w:szCs w:val="24"/>
                <w:lang w:val="uk-UA"/>
              </w:rPr>
              <w:t>153807,9</w:t>
            </w:r>
          </w:p>
        </w:tc>
        <w:tc>
          <w:tcPr>
            <w:tcW w:w="1134" w:type="dxa"/>
          </w:tcPr>
          <w:p w14:paraId="5654B6A3" w14:textId="77777777" w:rsidR="000547DA" w:rsidRPr="00C6277F" w:rsidRDefault="000547DA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54201,0</w:t>
            </w:r>
          </w:p>
        </w:tc>
        <w:tc>
          <w:tcPr>
            <w:tcW w:w="1276" w:type="dxa"/>
          </w:tcPr>
          <w:p w14:paraId="0AEF6848" w14:textId="77777777" w:rsidR="000547DA" w:rsidRPr="00CF0EA3" w:rsidRDefault="008054F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48299,1</w:t>
            </w:r>
          </w:p>
        </w:tc>
        <w:tc>
          <w:tcPr>
            <w:tcW w:w="1276" w:type="dxa"/>
          </w:tcPr>
          <w:p w14:paraId="1D803633" w14:textId="77777777" w:rsidR="000547DA" w:rsidRPr="00CF0EA3" w:rsidRDefault="008054FA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51307,8</w:t>
            </w:r>
          </w:p>
        </w:tc>
        <w:tc>
          <w:tcPr>
            <w:tcW w:w="1985" w:type="dxa"/>
          </w:tcPr>
          <w:p w14:paraId="5AAC042A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547DA" w:rsidRPr="00CF0EA3" w14:paraId="50100252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nil"/>
            </w:tcBorders>
          </w:tcPr>
          <w:p w14:paraId="75329DFE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31E407F2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118D55" w14:textId="77777777" w:rsidR="000547DA" w:rsidRPr="006B003D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0067B51F" w14:textId="77777777" w:rsidR="000547DA" w:rsidRPr="006B003D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59C256E" w14:textId="77777777" w:rsidR="000547DA" w:rsidRPr="006B003D" w:rsidRDefault="000547D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254A528" w14:textId="77777777" w:rsidR="000547DA" w:rsidRPr="006B003D" w:rsidRDefault="000547DA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450E099" w14:textId="77777777" w:rsidR="000547DA" w:rsidRPr="002333B0" w:rsidRDefault="000547DA" w:rsidP="00DA68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33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  <w:r w:rsidR="008054F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5238,25</w:t>
            </w:r>
          </w:p>
        </w:tc>
        <w:tc>
          <w:tcPr>
            <w:tcW w:w="1134" w:type="dxa"/>
          </w:tcPr>
          <w:p w14:paraId="1DC52B2B" w14:textId="77777777" w:rsidR="000547DA" w:rsidRPr="00C86C4B" w:rsidRDefault="000547DA" w:rsidP="00DA68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6C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61709,25</w:t>
            </w:r>
          </w:p>
        </w:tc>
        <w:tc>
          <w:tcPr>
            <w:tcW w:w="1276" w:type="dxa"/>
          </w:tcPr>
          <w:p w14:paraId="3015E571" w14:textId="77777777" w:rsidR="000547DA" w:rsidRPr="00C86C4B" w:rsidRDefault="008054FA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56626,7</w:t>
            </w:r>
          </w:p>
        </w:tc>
        <w:tc>
          <w:tcPr>
            <w:tcW w:w="1276" w:type="dxa"/>
          </w:tcPr>
          <w:p w14:paraId="530FEB34" w14:textId="77777777" w:rsidR="000547DA" w:rsidRPr="006B003D" w:rsidRDefault="000547DA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6B003D"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1985" w:type="dxa"/>
          </w:tcPr>
          <w:p w14:paraId="24BF0ADA" w14:textId="77777777" w:rsidR="000547DA" w:rsidRPr="00CF0EA3" w:rsidRDefault="000547DA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1135D550" w14:textId="77777777" w:rsidR="00DA6332" w:rsidRDefault="00DA6332">
      <w:pPr>
        <w:rPr>
          <w:lang w:val="uk-UA"/>
        </w:rPr>
      </w:pPr>
    </w:p>
    <w:p w14:paraId="59452984" w14:textId="77777777" w:rsidR="0088643B" w:rsidRDefault="0088643B">
      <w:pPr>
        <w:rPr>
          <w:lang w:val="uk-UA"/>
        </w:rPr>
      </w:pPr>
    </w:p>
    <w:p w14:paraId="4D56836B" w14:textId="77777777" w:rsidR="0088643B" w:rsidRPr="0088643B" w:rsidRDefault="0088643B">
      <w:pPr>
        <w:rPr>
          <w:rFonts w:ascii="Times New Roman" w:hAnsi="Times New Roman"/>
          <w:b/>
          <w:sz w:val="28"/>
          <w:szCs w:val="28"/>
          <w:lang w:val="uk-UA"/>
        </w:rPr>
      </w:pP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Ірина РЕПАЛО</w:t>
      </w:r>
    </w:p>
    <w:sectPr w:rsidR="0088643B" w:rsidRPr="0088643B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039F5"/>
    <w:rsid w:val="00003F14"/>
    <w:rsid w:val="000113A6"/>
    <w:rsid w:val="00020277"/>
    <w:rsid w:val="00043348"/>
    <w:rsid w:val="000547DA"/>
    <w:rsid w:val="00063B8E"/>
    <w:rsid w:val="0006529F"/>
    <w:rsid w:val="000723F1"/>
    <w:rsid w:val="00074289"/>
    <w:rsid w:val="00077DBE"/>
    <w:rsid w:val="000940C4"/>
    <w:rsid w:val="000A4F49"/>
    <w:rsid w:val="000C4599"/>
    <w:rsid w:val="000E23A5"/>
    <w:rsid w:val="000E657B"/>
    <w:rsid w:val="000F21C9"/>
    <w:rsid w:val="00104E5D"/>
    <w:rsid w:val="00105DAA"/>
    <w:rsid w:val="0012248A"/>
    <w:rsid w:val="00142436"/>
    <w:rsid w:val="0014587E"/>
    <w:rsid w:val="0014635A"/>
    <w:rsid w:val="00146529"/>
    <w:rsid w:val="001472C3"/>
    <w:rsid w:val="00163626"/>
    <w:rsid w:val="001853B7"/>
    <w:rsid w:val="00191C88"/>
    <w:rsid w:val="001943E4"/>
    <w:rsid w:val="001A0ADF"/>
    <w:rsid w:val="001A402C"/>
    <w:rsid w:val="001A48F1"/>
    <w:rsid w:val="001A5479"/>
    <w:rsid w:val="001B37AB"/>
    <w:rsid w:val="001B71DB"/>
    <w:rsid w:val="001C5368"/>
    <w:rsid w:val="001E518D"/>
    <w:rsid w:val="00201A9D"/>
    <w:rsid w:val="002307B1"/>
    <w:rsid w:val="002333B0"/>
    <w:rsid w:val="00235C82"/>
    <w:rsid w:val="00240B6D"/>
    <w:rsid w:val="00241EAC"/>
    <w:rsid w:val="00264213"/>
    <w:rsid w:val="00271C50"/>
    <w:rsid w:val="002761DD"/>
    <w:rsid w:val="00280C6A"/>
    <w:rsid w:val="002A1DCD"/>
    <w:rsid w:val="002B7FCD"/>
    <w:rsid w:val="002D4D87"/>
    <w:rsid w:val="002D5268"/>
    <w:rsid w:val="002E7A19"/>
    <w:rsid w:val="002F65B9"/>
    <w:rsid w:val="003272E1"/>
    <w:rsid w:val="003376F0"/>
    <w:rsid w:val="00350AFB"/>
    <w:rsid w:val="00352FF4"/>
    <w:rsid w:val="0035648B"/>
    <w:rsid w:val="00363E0E"/>
    <w:rsid w:val="00364ADD"/>
    <w:rsid w:val="003818B9"/>
    <w:rsid w:val="003848F1"/>
    <w:rsid w:val="00395004"/>
    <w:rsid w:val="00395482"/>
    <w:rsid w:val="003B2906"/>
    <w:rsid w:val="003C1835"/>
    <w:rsid w:val="003D089D"/>
    <w:rsid w:val="003F11D6"/>
    <w:rsid w:val="003F2872"/>
    <w:rsid w:val="00401FC9"/>
    <w:rsid w:val="00415B8F"/>
    <w:rsid w:val="0044520A"/>
    <w:rsid w:val="0045123C"/>
    <w:rsid w:val="004514D6"/>
    <w:rsid w:val="004553E8"/>
    <w:rsid w:val="00461D1D"/>
    <w:rsid w:val="004733B7"/>
    <w:rsid w:val="004B6FFF"/>
    <w:rsid w:val="004C2578"/>
    <w:rsid w:val="004D248C"/>
    <w:rsid w:val="004E6B22"/>
    <w:rsid w:val="004F00DE"/>
    <w:rsid w:val="005303CD"/>
    <w:rsid w:val="0054024C"/>
    <w:rsid w:val="00547F1C"/>
    <w:rsid w:val="005536E5"/>
    <w:rsid w:val="005649D3"/>
    <w:rsid w:val="005653E0"/>
    <w:rsid w:val="00575DA0"/>
    <w:rsid w:val="005773D8"/>
    <w:rsid w:val="0058408A"/>
    <w:rsid w:val="005946AF"/>
    <w:rsid w:val="005954C4"/>
    <w:rsid w:val="005C659D"/>
    <w:rsid w:val="005D4636"/>
    <w:rsid w:val="00605E56"/>
    <w:rsid w:val="0064305A"/>
    <w:rsid w:val="00647414"/>
    <w:rsid w:val="00667766"/>
    <w:rsid w:val="00667AFC"/>
    <w:rsid w:val="00685F77"/>
    <w:rsid w:val="00690132"/>
    <w:rsid w:val="00690163"/>
    <w:rsid w:val="00693AE6"/>
    <w:rsid w:val="0069486F"/>
    <w:rsid w:val="006A0B12"/>
    <w:rsid w:val="006B003D"/>
    <w:rsid w:val="006B3BF6"/>
    <w:rsid w:val="006B41E9"/>
    <w:rsid w:val="006B4AD9"/>
    <w:rsid w:val="006B6415"/>
    <w:rsid w:val="006B7FA2"/>
    <w:rsid w:val="006C3C84"/>
    <w:rsid w:val="006D647B"/>
    <w:rsid w:val="006E4A02"/>
    <w:rsid w:val="006E742E"/>
    <w:rsid w:val="007341E1"/>
    <w:rsid w:val="00736B61"/>
    <w:rsid w:val="00742762"/>
    <w:rsid w:val="00745B00"/>
    <w:rsid w:val="00750A3E"/>
    <w:rsid w:val="00763446"/>
    <w:rsid w:val="00765431"/>
    <w:rsid w:val="00796F56"/>
    <w:rsid w:val="007B0CDB"/>
    <w:rsid w:val="007C3183"/>
    <w:rsid w:val="007F0E9E"/>
    <w:rsid w:val="007F2FB4"/>
    <w:rsid w:val="008034DA"/>
    <w:rsid w:val="00804037"/>
    <w:rsid w:val="008054FA"/>
    <w:rsid w:val="008139BE"/>
    <w:rsid w:val="00860875"/>
    <w:rsid w:val="00865B82"/>
    <w:rsid w:val="00880398"/>
    <w:rsid w:val="0088643B"/>
    <w:rsid w:val="0089415D"/>
    <w:rsid w:val="008964EE"/>
    <w:rsid w:val="00897813"/>
    <w:rsid w:val="008C50D5"/>
    <w:rsid w:val="008D6782"/>
    <w:rsid w:val="008E3320"/>
    <w:rsid w:val="008E5099"/>
    <w:rsid w:val="009053EF"/>
    <w:rsid w:val="0092683E"/>
    <w:rsid w:val="00937D60"/>
    <w:rsid w:val="0094122E"/>
    <w:rsid w:val="009615E1"/>
    <w:rsid w:val="0096790B"/>
    <w:rsid w:val="009718D1"/>
    <w:rsid w:val="00986755"/>
    <w:rsid w:val="009B165E"/>
    <w:rsid w:val="009C04E7"/>
    <w:rsid w:val="009D107A"/>
    <w:rsid w:val="009D7165"/>
    <w:rsid w:val="009E319E"/>
    <w:rsid w:val="009F1CD9"/>
    <w:rsid w:val="00A05E8C"/>
    <w:rsid w:val="00A11F33"/>
    <w:rsid w:val="00A12596"/>
    <w:rsid w:val="00A22336"/>
    <w:rsid w:val="00A63C60"/>
    <w:rsid w:val="00A75CDD"/>
    <w:rsid w:val="00A75DBD"/>
    <w:rsid w:val="00A75E0B"/>
    <w:rsid w:val="00A83A17"/>
    <w:rsid w:val="00A877A3"/>
    <w:rsid w:val="00A87943"/>
    <w:rsid w:val="00A97D02"/>
    <w:rsid w:val="00AA34C5"/>
    <w:rsid w:val="00AA3C8D"/>
    <w:rsid w:val="00AA4B6F"/>
    <w:rsid w:val="00AB2421"/>
    <w:rsid w:val="00B02084"/>
    <w:rsid w:val="00B3555B"/>
    <w:rsid w:val="00B41D25"/>
    <w:rsid w:val="00B54383"/>
    <w:rsid w:val="00B544E0"/>
    <w:rsid w:val="00B66846"/>
    <w:rsid w:val="00B668E0"/>
    <w:rsid w:val="00B7199D"/>
    <w:rsid w:val="00B822C9"/>
    <w:rsid w:val="00B92804"/>
    <w:rsid w:val="00B97E01"/>
    <w:rsid w:val="00BA09CC"/>
    <w:rsid w:val="00BB394E"/>
    <w:rsid w:val="00BB6B60"/>
    <w:rsid w:val="00BC1E8F"/>
    <w:rsid w:val="00BE3C05"/>
    <w:rsid w:val="00BE6B7B"/>
    <w:rsid w:val="00C432A2"/>
    <w:rsid w:val="00C5375E"/>
    <w:rsid w:val="00C6277F"/>
    <w:rsid w:val="00C64736"/>
    <w:rsid w:val="00C65EC2"/>
    <w:rsid w:val="00C668EE"/>
    <w:rsid w:val="00C7311B"/>
    <w:rsid w:val="00C840FE"/>
    <w:rsid w:val="00C862A8"/>
    <w:rsid w:val="00C86C4B"/>
    <w:rsid w:val="00CA4D0D"/>
    <w:rsid w:val="00CA7F71"/>
    <w:rsid w:val="00CD0E02"/>
    <w:rsid w:val="00CD2ECC"/>
    <w:rsid w:val="00CE1CC9"/>
    <w:rsid w:val="00CE6702"/>
    <w:rsid w:val="00CF0EA3"/>
    <w:rsid w:val="00CF699E"/>
    <w:rsid w:val="00D3158E"/>
    <w:rsid w:val="00D4727C"/>
    <w:rsid w:val="00D50A05"/>
    <w:rsid w:val="00D50F4C"/>
    <w:rsid w:val="00D611F7"/>
    <w:rsid w:val="00D73565"/>
    <w:rsid w:val="00DA6332"/>
    <w:rsid w:val="00DA68A5"/>
    <w:rsid w:val="00DC7DBD"/>
    <w:rsid w:val="00E33A8B"/>
    <w:rsid w:val="00E45D7F"/>
    <w:rsid w:val="00E50E81"/>
    <w:rsid w:val="00E55AB1"/>
    <w:rsid w:val="00E66C78"/>
    <w:rsid w:val="00E673E9"/>
    <w:rsid w:val="00E779D0"/>
    <w:rsid w:val="00E81E81"/>
    <w:rsid w:val="00E979FC"/>
    <w:rsid w:val="00EA0C4A"/>
    <w:rsid w:val="00EA1BA3"/>
    <w:rsid w:val="00EB48B9"/>
    <w:rsid w:val="00ED2CC9"/>
    <w:rsid w:val="00F03B13"/>
    <w:rsid w:val="00F11202"/>
    <w:rsid w:val="00F123E7"/>
    <w:rsid w:val="00F44CAA"/>
    <w:rsid w:val="00F4675B"/>
    <w:rsid w:val="00F531F8"/>
    <w:rsid w:val="00F552D8"/>
    <w:rsid w:val="00F8270E"/>
    <w:rsid w:val="00F87537"/>
    <w:rsid w:val="00F87AB9"/>
    <w:rsid w:val="00FA3E91"/>
    <w:rsid w:val="00FC72F2"/>
    <w:rsid w:val="00FD23EE"/>
    <w:rsid w:val="00FD596F"/>
    <w:rsid w:val="00FF168B"/>
    <w:rsid w:val="00FF1C4B"/>
    <w:rsid w:val="00FF38D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CA42F"/>
  <w15:docId w15:val="{93698B3D-9613-4EC0-B12E-37204BAD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A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7F71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62C0-7E04-4E14-A06A-30EFB0D9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2025-11-25T08:24:00Z</cp:lastPrinted>
  <dcterms:created xsi:type="dcterms:W3CDTF">2026-02-02T11:06:00Z</dcterms:created>
  <dcterms:modified xsi:type="dcterms:W3CDTF">2026-02-02T11:06:00Z</dcterms:modified>
</cp:coreProperties>
</file>