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</w:t>
      </w:r>
      <w:proofErr w:type="gram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вл</w:t>
      </w:r>
      <w:proofErr w:type="gram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:rsidR="00F71F47" w:rsidRPr="008037ED" w:rsidRDefault="00F71F47" w:rsidP="00F71F47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71F47" w:rsidRPr="008037ED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0358FC" w:rsidRPr="00F71F47" w:rsidRDefault="00F71F47" w:rsidP="00F71F47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B87C4E" w:rsidRPr="00B87C4E" w:rsidRDefault="00B87C4E" w:rsidP="00B87C4E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B87C4E" w:rsidRPr="00B87C4E" w:rsidRDefault="00B87C4E" w:rsidP="00B87C4E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B87C4E" w:rsidRPr="00B87C4E" w:rsidRDefault="00B87C4E" w:rsidP="00B87C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B87C4E" w:rsidRDefault="000358FC" w:rsidP="008C70C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</w:t>
            </w:r>
            <w:r w:rsidR="008C70CF"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6C4665" w:rsidRDefault="002D0069" w:rsidP="006C4665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UA-2022-11-28-006708-a</w:t>
            </w: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87C4E" w:rsidRP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Героїв Майдану,24 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Склярова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Винниченка,16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Грушевського,23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Франка,2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Хмільниц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ький р-н,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с.Махаринці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вул.Травнева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с.Сокілець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вул.Котляревського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2а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с.Сестринівка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вул.Грушевського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18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Флоріанівка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вул.Йосипівська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с.Пиковець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Івана</w:t>
            </w:r>
            <w:proofErr w:type="spellEnd"/>
            <w:r w:rsidR="008E48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Богуна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4</w:t>
            </w:r>
          </w:p>
          <w:p w:rsidR="00B87C4E" w:rsidRDefault="00B87C4E" w:rsidP="00B87C4E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Хмільницький р-н,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с.Рубанка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12</w:t>
            </w:r>
          </w:p>
          <w:p w:rsid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B87C4E" w:rsidRPr="00B87C4E" w:rsidRDefault="00B87C4E" w:rsidP="00B87C4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B87C4E" w:rsidRPr="00F43D02" w:rsidRDefault="00B87C4E" w:rsidP="00B87C4E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0358FC" w:rsidRPr="00B87C4E" w:rsidRDefault="000358FC" w:rsidP="008C70CF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8FC" w:rsidRPr="00B87C4E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923C7B" w:rsidRDefault="00F43D02" w:rsidP="008C70CF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B87C4E" w:rsidRDefault="00B87C4E" w:rsidP="00B87C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0358FC" w:rsidRPr="00B87C4E" w:rsidRDefault="00B87C4E" w:rsidP="00B87C4E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666 000,00 </w:t>
            </w:r>
            <w:proofErr w:type="spell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proofErr w:type="gram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proofErr w:type="spellStart"/>
            <w:proofErr w:type="gram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Шістсот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шістдесят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шість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0358FC" w:rsidRPr="000358FC" w:rsidTr="00C560C2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обумовлено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2022року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lastRenderedPageBreak/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F43D0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358FC" w:rsidRPr="008C70CF" w:rsidRDefault="000358FC" w:rsidP="00B87C4E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:rsidR="000358FC" w:rsidRPr="00C560C2" w:rsidRDefault="005834FD" w:rsidP="000358FC">
      <w:pPr>
        <w:spacing w:after="0" w:line="240" w:lineRule="auto"/>
        <w:rPr>
          <w:rFonts w:ascii="Arial" w:eastAsia="Times New Roman" w:hAnsi="Arial" w:cs="Arial"/>
          <w:color w:val="0000FF"/>
          <w:sz w:val="27"/>
          <w:szCs w:val="27"/>
          <w:lang w:val="uk-UA"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lastRenderedPageBreak/>
        <w:fldChar w:fldCharType="begin"/>
      </w:r>
      <w:r w:rsidR="000358FC"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instrText xml:space="preserve"> HYPERLINK "https://radnyk.academy/pos" \t "_blank" </w:instrText>
      </w: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separate"/>
      </w:r>
    </w:p>
    <w:p w:rsidR="000358FC" w:rsidRPr="000358FC" w:rsidRDefault="005834FD" w:rsidP="000358FC">
      <w:pPr>
        <w:spacing w:after="0" w:line="240" w:lineRule="auto"/>
        <w:rPr>
          <w:rFonts w:ascii="Arial" w:eastAsia="Times New Roman" w:hAnsi="Arial" w:cs="Arial"/>
          <w:color w:val="242424"/>
          <w:sz w:val="27"/>
          <w:szCs w:val="27"/>
          <w:lang w:eastAsia="ru-RU"/>
        </w:rPr>
      </w:pPr>
      <w:r w:rsidRPr="000358FC">
        <w:rPr>
          <w:rFonts w:ascii="Arial" w:eastAsia="Times New Roman" w:hAnsi="Arial" w:cs="Arial"/>
          <w:color w:val="242424"/>
          <w:sz w:val="27"/>
          <w:szCs w:val="27"/>
          <w:lang w:eastAsia="ru-RU"/>
        </w:rPr>
        <w:fldChar w:fldCharType="end"/>
      </w:r>
    </w:p>
    <w:p w:rsidR="00F45842" w:rsidRDefault="00600F06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lastRenderedPageBreak/>
        <w:t>ВИКОНАВЧИЙ КОМІТЕТ КОЗЯТИНСЬКОЇ МІСЬКОЇ РАДИ</w:t>
      </w:r>
    </w:p>
    <w:p w:rsidR="00F43D02" w:rsidRPr="00F43D02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</w:t>
      </w:r>
      <w:r w:rsidRPr="00F43D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br/>
      </w:r>
      <w:r w:rsidRPr="00F43D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бюджетного призначення, очікуваної вартості предмета закупівлі</w:t>
      </w:r>
    </w:p>
    <w:p w:rsidR="00F43D02" w:rsidRPr="008037ED" w:rsidRDefault="00F43D02" w:rsidP="00F43D02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proofErr w:type="gram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  <w:proofErr w:type="gramEnd"/>
    </w:p>
    <w:p w:rsidR="00F43D02" w:rsidRPr="008037ED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:rsidR="00F43D02" w:rsidRPr="00F71F47" w:rsidRDefault="00F43D02" w:rsidP="00F43D02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22100</w:t>
      </w:r>
      <w:r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3172"/>
        <w:gridCol w:w="6048"/>
      </w:tblGrid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Назва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widowControl w:val="0"/>
              <w:autoSpaceDE w:val="0"/>
              <w:autoSpaceDN w:val="0"/>
              <w:adjustRightInd w:val="0"/>
              <w:spacing w:after="0"/>
              <w:ind w:hanging="10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енергія</w:t>
            </w:r>
            <w:proofErr w:type="spellEnd"/>
          </w:p>
          <w:p w:rsidR="00F43D02" w:rsidRPr="00B87C4E" w:rsidRDefault="00F43D02" w:rsidP="00D44C88">
            <w:pPr>
              <w:pStyle w:val="a9"/>
              <w:numPr>
                <w:ilvl w:val="5"/>
                <w:numId w:val="6"/>
              </w:numPr>
              <w:spacing w:after="0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</w:pPr>
          </w:p>
          <w:p w:rsidR="00F43D02" w:rsidRPr="00B87C4E" w:rsidRDefault="00F43D02" w:rsidP="00D44C88">
            <w:pPr>
              <w:pStyle w:val="a9"/>
              <w:widowControl/>
              <w:numPr>
                <w:ilvl w:val="5"/>
                <w:numId w:val="6"/>
              </w:numPr>
              <w:autoSpaceDE/>
              <w:spacing w:after="0"/>
              <w:ind w:right="1025"/>
              <w:jc w:val="center"/>
              <w:outlineLvl w:val="5"/>
              <w:rPr>
                <w:rStyle w:val="FontStyle12"/>
                <w:b/>
                <w:bCs/>
                <w:sz w:val="24"/>
                <w:szCs w:val="24"/>
                <w:lang w:val="uk-UA"/>
              </w:rPr>
            </w:pP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 xml:space="preserve">              (</w:t>
            </w:r>
            <w:proofErr w:type="spellStart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ДК</w:t>
            </w:r>
            <w:proofErr w:type="spellEnd"/>
            <w:r w:rsidRPr="00B87C4E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021:2015 – 09310000-5 – Електрична енергія</w:t>
            </w:r>
            <w:r w:rsidRPr="00B87C4E">
              <w:rPr>
                <w:rStyle w:val="FontStyle12"/>
                <w:b/>
                <w:bCs/>
                <w:sz w:val="24"/>
                <w:szCs w:val="24"/>
                <w:shd w:val="clear" w:color="auto" w:fill="FFFFFF"/>
                <w:lang w:val="uk-UA" w:eastAsia="zh-CN"/>
              </w:rPr>
              <w:t>)</w:t>
            </w:r>
          </w:p>
          <w:p w:rsidR="00F43D02" w:rsidRPr="00B87C4E" w:rsidRDefault="00F43D02" w:rsidP="00D44C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 ДК 021:2015 «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Єдиний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закупівельний</w:t>
            </w:r>
            <w:proofErr w:type="spellEnd"/>
            <w:r w:rsidRPr="00B87C4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словник»</w:t>
            </w:r>
          </w:p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Вид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процедури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B87C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Відкриті торги з особливостями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Ідентифікатор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6C4665" w:rsidRDefault="00600F06" w:rsidP="00D44C88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23232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UA-2022-11-28-007092-a</w:t>
            </w: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якісних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характеристик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якісні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встановлюються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Закон), Правилами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роздрібного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здійснює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державне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у сферах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НКРЕКП)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312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ПРРЕЕ), Законом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публічні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25.12.2015 № 922-VIII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Закон про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), Кодексом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розподілу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комунальних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14.03.2018 № 310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КСР), Порядком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стандартів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якості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компенсацій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недотримання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затвердженим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НКРЕКП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12.06.2018 № 375 (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далі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r w:rsidRPr="00B87C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№ 375),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іншими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нормативно-правовими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актами,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стосуються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пунктом 26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статті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1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виробляється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об’єктах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електроенергетики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товаром,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купівл</w:t>
            </w:r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продажу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Статтею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56 Закону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визначено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споживачам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здійснюється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електропостачальниками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відповідну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іцензію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за договором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споживачу</w:t>
            </w:r>
            <w:proofErr w:type="spellEnd"/>
            <w:r w:rsidRPr="00B87C4E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повинна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міститись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переліку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реє</w:t>
            </w:r>
            <w:proofErr w:type="gram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НКРЕКП)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суб'єктів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Закону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ліцензію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провадження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господарської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розміщено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НКРЕКП у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розділі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" w:history="1"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Електрична</w:t>
              </w:r>
              <w:proofErr w:type="spellEnd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0B87C4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енергія</w:t>
              </w:r>
              <w:proofErr w:type="spellEnd"/>
            </w:hyperlink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"https://www.nerc.gov.ua/?id=15953"</w:instrText>
            </w:r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Ліцензування</w:t>
            </w:r>
            <w:proofErr w:type="spellEnd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  /  </w:t>
            </w:r>
            <w:proofErr w:type="spellStart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instrText>HYPERLINK "https://www.nerc.gov.ua/?id=16075"</w:instrText>
            </w:r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Реєстри</w:t>
            </w:r>
            <w:proofErr w:type="spell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87C4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іцензіатів</w:t>
            </w:r>
            <w:proofErr w:type="spellEnd"/>
            <w:r w:rsidR="005834FD" w:rsidRPr="00B87C4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F43D02" w:rsidRPr="00B87C4E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Електропостачальник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повинен</w:t>
            </w:r>
            <w:proofErr w:type="gram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забезпечити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поставку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об’єкт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  <w:r w:rsidRPr="00B87C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b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  <w:p w:rsidR="00F43D02" w:rsidRDefault="00F43D02" w:rsidP="00D44C88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Україна, Вінницька область,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 Козятин, межа балансової належності електроустановок замовника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51434" w:rsidRDefault="00F51434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 Козятин вул.. Винниченка,56</w:t>
            </w:r>
          </w:p>
          <w:p w:rsidR="00F51434" w:rsidRDefault="008E4866" w:rsidP="00F51434">
            <w:pPr>
              <w:pStyle w:val="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м. Козятин вул..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Вячеслава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Чорновола</w:t>
            </w:r>
            <w:r w:rsidR="00F514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8 а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01.01.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або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дати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>укладання</w:t>
            </w:r>
            <w:proofErr w:type="spellEnd"/>
            <w:r w:rsidRPr="00B87C4E">
              <w:rPr>
                <w:rFonts w:ascii="Times New Roman" w:hAnsi="Times New Roman"/>
                <w:i/>
                <w:sz w:val="24"/>
                <w:szCs w:val="24"/>
              </w:rPr>
              <w:t xml:space="preserve"> договору)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31.12.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</w:p>
          <w:p w:rsidR="00F43D02" w:rsidRPr="00B87C4E" w:rsidRDefault="00F43D02" w:rsidP="00D44C88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Кількісною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характеристикою предмета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одиницю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виміру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приймається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кіловат-година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дорівнює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кількості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спожитої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пристроями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потужністю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в один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кіловат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протягом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однієї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години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необхідний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власних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потреб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замовника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, та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враховуючи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C4E">
              <w:rPr>
                <w:rFonts w:ascii="Times New Roman" w:hAnsi="Times New Roman"/>
                <w:sz w:val="24"/>
                <w:szCs w:val="24"/>
              </w:rPr>
              <w:t>переднього</w:t>
            </w:r>
            <w:proofErr w:type="spell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календарного року, становить </w:t>
            </w:r>
            <w:r w:rsidR="00F5143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7C4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B87C4E">
              <w:rPr>
                <w:rFonts w:ascii="Times New Roman" w:hAnsi="Times New Roman"/>
                <w:sz w:val="24"/>
                <w:szCs w:val="24"/>
              </w:rPr>
              <w:t>од на 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B87C4E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F43D02" w:rsidRPr="00F43D02" w:rsidRDefault="00F43D02" w:rsidP="00D44C8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забезпечує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гарантованих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стандартів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надання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тих,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Порядком № 375, Законом, ПРРЕЕ, КСР,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(договору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) 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нормативно-правовими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актами.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статтею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18 Закону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повинні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величинам,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затверджені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НКРЕКП. </w:t>
            </w:r>
            <w:proofErr w:type="spellStart"/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положень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 xml:space="preserve">пункту 11.4.6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глави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11.4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розділу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XI КСР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параметри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якості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електричної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енергії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точках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приєднання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споживачів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нормальних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умовах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експлуатації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мають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параметрам,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у ДСТУ EN 50160:2014 «Характеристики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напруги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електричних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мережах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загального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».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Стосовно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якісних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характеристик предмета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</w:t>
            </w:r>
            <w:proofErr w:type="gram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вл</w:t>
            </w:r>
            <w:proofErr w:type="gram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передбачається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необхідність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у тому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числі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під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час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виконання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договору про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закупівлю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Електропостачальник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зобов’язується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дотримуватися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передбачених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чинним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законодавством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вимог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щодо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застосування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заходів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із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довкілля</w:t>
            </w:r>
            <w:proofErr w:type="spellEnd"/>
            <w:r w:rsidRPr="00F43D02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</w:p>
          <w:p w:rsidR="00F43D02" w:rsidRPr="00B87C4E" w:rsidRDefault="00F43D02" w:rsidP="00D44C88">
            <w:pPr>
              <w:ind w:right="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3D02" w:rsidRPr="00B87C4E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розміру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бюджетного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призначення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923C7B" w:rsidRDefault="00F43D02" w:rsidP="00D44C88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Закупівля проводиться на 2023 рік на очікувану вартість. </w:t>
            </w:r>
            <w:r w:rsidRPr="00A429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Розмір бюджетного призначення, визначений відповідно до розрахунку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за попередній бюджетний рік.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Очікувана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вартість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D77869" w:rsidRDefault="00F43D02" w:rsidP="00D44C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F43D02" w:rsidRPr="00D77869" w:rsidRDefault="00F51434" w:rsidP="00F51434">
            <w:pPr>
              <w:spacing w:after="4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18 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000,00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грн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.(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Вісімнадцять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тисяч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грн. </w:t>
            </w:r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00 </w:t>
            </w:r>
            <w:proofErr w:type="spellStart"/>
            <w:r w:rsidR="00D77869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коп</w:t>
            </w:r>
            <w:proofErr w:type="spellEnd"/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)</w:t>
            </w:r>
            <w:r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з П</w:t>
            </w:r>
            <w:r w:rsidR="00F43D02" w:rsidRP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ДВ</w:t>
            </w:r>
            <w:r w:rsidR="00D7786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</w:t>
            </w:r>
          </w:p>
        </w:tc>
      </w:tr>
      <w:tr w:rsidR="00F43D02" w:rsidRPr="000358FC" w:rsidTr="00D44C88">
        <w:tc>
          <w:tcPr>
            <w:tcW w:w="42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0358FC" w:rsidRDefault="00F43D02" w:rsidP="00D44C88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Обґрунтування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очікуваної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вартості</w:t>
            </w:r>
            <w:proofErr w:type="spell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 xml:space="preserve"> предмета </w:t>
            </w:r>
            <w:proofErr w:type="spell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закупі</w:t>
            </w:r>
            <w:proofErr w:type="gramStart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вл</w:t>
            </w:r>
            <w:proofErr w:type="gramEnd"/>
            <w:r w:rsidRPr="000358FC">
              <w:rPr>
                <w:rFonts w:ascii="Times New Roman" w:eastAsia="Times New Roman" w:hAnsi="Times New Roman" w:cs="Times New Roman"/>
                <w:b/>
                <w:bCs/>
                <w:color w:val="323232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615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обумовлено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споживання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річного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місячного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календар</w:t>
            </w:r>
            <w:r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бюджетний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період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2022року</w:t>
            </w:r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здійснено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товарів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порівняння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ринкових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примірної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методики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</w:t>
            </w: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яка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затверджена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наказом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економіки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торгівлі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сільського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18.02.2020 № 275.</w:t>
            </w:r>
          </w:p>
          <w:p w:rsidR="00F43D02" w:rsidRPr="00F43D02" w:rsidRDefault="00F43D02" w:rsidP="00D44C8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цьому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розрахунок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проводився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згідно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аналізом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електропостачальників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енергію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дату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очікуваної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вартості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предмета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До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ціни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включена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вартість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закупованої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оптовому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внутрішньодобовому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ринку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добу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наперед),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передачі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електрично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енергії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націнка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електропостачальника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F43D02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  <w:r w:rsidRPr="00F43D02"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визначені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lastRenderedPageBreak/>
              <w:t>законодавством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податки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F43D02">
              <w:rPr>
                <w:rFonts w:ascii="Times New Roman" w:hAnsi="Times New Roman"/>
                <w:sz w:val="24"/>
                <w:szCs w:val="24"/>
              </w:rPr>
              <w:t>збори</w:t>
            </w:r>
            <w:proofErr w:type="spellEnd"/>
            <w:r w:rsidRPr="00F43D0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43D02" w:rsidRPr="008C70CF" w:rsidRDefault="00F43D02" w:rsidP="00D44C88">
            <w:pPr>
              <w:pStyle w:val="2"/>
              <w:shd w:val="clear" w:color="auto" w:fill="FDFEFD"/>
              <w:spacing w:before="0" w:beforeAutospacing="0" w:after="0" w:afterAutospacing="0" w:line="360" w:lineRule="atLeast"/>
              <w:jc w:val="both"/>
              <w:textAlignment w:val="baseline"/>
              <w:rPr>
                <w:color w:val="323232"/>
                <w:sz w:val="24"/>
                <w:szCs w:val="24"/>
              </w:rPr>
            </w:pPr>
          </w:p>
        </w:tc>
      </w:tr>
    </w:tbl>
    <w:p w:rsidR="00F43D02" w:rsidRPr="00F43D02" w:rsidRDefault="00F43D02"/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Default="00F43D02">
      <w:pPr>
        <w:rPr>
          <w:lang w:val="uk-UA"/>
        </w:rPr>
      </w:pPr>
    </w:p>
    <w:p w:rsidR="00F43D02" w:rsidRPr="00F43D02" w:rsidRDefault="00F43D02">
      <w:pPr>
        <w:rPr>
          <w:lang w:val="uk-UA"/>
        </w:rPr>
      </w:pPr>
    </w:p>
    <w:sectPr w:rsidR="00F43D02" w:rsidRPr="00F43D02" w:rsidSect="0006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104"/>
    <w:multiLevelType w:val="multilevel"/>
    <w:tmpl w:val="0FB25B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FC"/>
    <w:rsid w:val="000358FC"/>
    <w:rsid w:val="000614CD"/>
    <w:rsid w:val="000E1383"/>
    <w:rsid w:val="00122F9C"/>
    <w:rsid w:val="002078A3"/>
    <w:rsid w:val="002D0069"/>
    <w:rsid w:val="00352B90"/>
    <w:rsid w:val="004A4670"/>
    <w:rsid w:val="0056143F"/>
    <w:rsid w:val="005834FD"/>
    <w:rsid w:val="005A5AF8"/>
    <w:rsid w:val="00600F06"/>
    <w:rsid w:val="00612D7E"/>
    <w:rsid w:val="00625219"/>
    <w:rsid w:val="00696A13"/>
    <w:rsid w:val="006C4665"/>
    <w:rsid w:val="00822182"/>
    <w:rsid w:val="008C70CF"/>
    <w:rsid w:val="008E4866"/>
    <w:rsid w:val="00923C7B"/>
    <w:rsid w:val="009314A8"/>
    <w:rsid w:val="00A4293E"/>
    <w:rsid w:val="00AA776E"/>
    <w:rsid w:val="00B87C4E"/>
    <w:rsid w:val="00BA2586"/>
    <w:rsid w:val="00C560C2"/>
    <w:rsid w:val="00CA183A"/>
    <w:rsid w:val="00D77869"/>
    <w:rsid w:val="00E434A0"/>
    <w:rsid w:val="00E86C1B"/>
    <w:rsid w:val="00F43D02"/>
    <w:rsid w:val="00F51434"/>
    <w:rsid w:val="00F71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F71F47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9">
    <w:name w:val="Body Text"/>
    <w:basedOn w:val="a"/>
    <w:link w:val="aa"/>
    <w:rsid w:val="00B87C4E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87C4E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FontStyle12">
    <w:name w:val="Font Style12"/>
    <w:rsid w:val="00B87C4E"/>
    <w:rPr>
      <w:rFonts w:ascii="Times New Roman" w:hAnsi="Times New Roman" w:cs="Times New Roman"/>
      <w:sz w:val="26"/>
      <w:szCs w:val="26"/>
    </w:rPr>
  </w:style>
  <w:style w:type="character" w:customStyle="1" w:styleId="rvts0">
    <w:name w:val="rvts0"/>
    <w:basedOn w:val="a0"/>
    <w:rsid w:val="00B87C4E"/>
  </w:style>
  <w:style w:type="paragraph" w:customStyle="1" w:styleId="1">
    <w:name w:val="Обычный1"/>
    <w:qFormat/>
    <w:rsid w:val="00B87C4E"/>
    <w:pPr>
      <w:suppressAutoHyphens/>
      <w:spacing w:after="0"/>
    </w:pPr>
    <w:rPr>
      <w:rFonts w:ascii="Arial" w:eastAsia="Arial" w:hAnsi="Arial" w:cs="Arial"/>
      <w:color w:val="000000"/>
      <w:kern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gov.ua/?id=15950" TargetMode="External"/><Relationship Id="rId5" Type="http://schemas.openxmlformats.org/officeDocument/2006/relationships/hyperlink" Target="https://www.nerc.gov.ua/?id=15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2022-11-16T07:57:00Z</cp:lastPrinted>
  <dcterms:created xsi:type="dcterms:W3CDTF">2022-07-25T09:06:00Z</dcterms:created>
  <dcterms:modified xsi:type="dcterms:W3CDTF">2022-11-28T10:56:00Z</dcterms:modified>
</cp:coreProperties>
</file>