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37526CC" w14:textId="77777777" w:rsidR="00604B35" w:rsidRPr="00076457" w:rsidRDefault="00604B35" w:rsidP="0060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183692641"/>
            <w:bookmarkStart w:id="1" w:name="_Hlk172897753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Генератор </w:t>
            </w:r>
            <w:proofErr w:type="spellStart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бензиновий</w:t>
            </w:r>
            <w:proofErr w:type="spellEnd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інверторний</w:t>
            </w:r>
            <w:proofErr w:type="spellEnd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Kоnner&amp;Sohnen</w:t>
            </w:r>
            <w:proofErr w:type="spellEnd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KS3300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і, </w:t>
            </w:r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Генератор </w:t>
            </w:r>
            <w:proofErr w:type="spellStart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бензиновий</w:t>
            </w:r>
            <w:proofErr w:type="spellEnd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інверторний</w:t>
            </w:r>
            <w:proofErr w:type="spellEnd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Kоnner&amp;Sohnen</w:t>
            </w:r>
            <w:proofErr w:type="spellEnd"/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  <w:r w:rsidRPr="001A6A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 ATSR</w:t>
            </w:r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еквівалент"</w:t>
            </w:r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ДК</w:t>
            </w:r>
            <w:proofErr w:type="spellEnd"/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021:2015 </w:t>
            </w:r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Єдиний</w:t>
            </w:r>
            <w:proofErr w:type="spellEnd"/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закупівельний</w:t>
            </w:r>
            <w:proofErr w:type="spellEnd"/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словник</w:t>
            </w:r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»:</w:t>
            </w:r>
          </w:p>
          <w:p w14:paraId="505E5299" w14:textId="77777777" w:rsidR="00604B35" w:rsidRDefault="00604B35" w:rsidP="00604B3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</w:rPr>
            </w:pPr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31120000-3 </w:t>
            </w:r>
            <w:proofErr w:type="spellStart"/>
            <w:r w:rsidRPr="000764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Генератори</w:t>
            </w:r>
            <w:proofErr w:type="spellEnd"/>
          </w:p>
          <w:bookmarkEnd w:id="1"/>
          <w:p w14:paraId="4D93A667" w14:textId="77777777" w:rsidR="00604B35" w:rsidRDefault="00604B35" w:rsidP="00604B35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</w:p>
          <w:bookmarkEnd w:id="0"/>
          <w:p w14:paraId="59DB6050" w14:textId="4258605A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6BB97340" w:rsidR="000358FC" w:rsidRPr="00A34818" w:rsidRDefault="00604B3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4B3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UA-2025-07-17-008737-a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CEDB7D5" w14:textId="77777777" w:rsidR="00634EFB" w:rsidRDefault="0044284E" w:rsidP="0083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Закупівля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проводиться на запит в\ч,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 </w:t>
            </w:r>
          </w:p>
          <w:p w14:paraId="44941398" w14:textId="77777777" w:rsidR="00604B35" w:rsidRPr="00D57DB1" w:rsidRDefault="00F538B3" w:rsidP="0060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4B35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="00604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04B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="00604B35"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4B35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="00604B35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 w:rsidR="00604B35"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7FC08535" w14:textId="77777777" w:rsidR="00604B35" w:rsidRPr="00D57DB1" w:rsidRDefault="00604B35" w:rsidP="0060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18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17C33E0A" w14:textId="77777777" w:rsidR="00604B35" w:rsidRPr="00D57DB1" w:rsidRDefault="00604B35" w:rsidP="0060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готовим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FBBCF" w14:textId="77777777" w:rsidR="00604B35" w:rsidRPr="00D57DB1" w:rsidRDefault="00604B35" w:rsidP="0060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4B431" w14:textId="77777777" w:rsidR="00604B35" w:rsidRPr="00110095" w:rsidRDefault="00604B35" w:rsidP="00604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Закупівля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для потреб ЗСУ.</w:t>
            </w:r>
            <w:r w:rsidRPr="00B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3 постанови КМУ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2022 р. № 1178 "Про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”,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скасування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6-1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X “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Прикінцеві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перехідні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 Закону не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товару для потреб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запит з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подальшою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передачею таких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запитувача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173EC" w14:textId="77777777" w:rsidR="00604B35" w:rsidRDefault="00604B35" w:rsidP="00604B3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конкретного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тип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конкретну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модель/марку товару є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необхідним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оскільки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якісними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характеристиками товар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цієї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компанії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 таким,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максимально точно та оптимально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відповідає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потребам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замовника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отриманого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запиту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потреби.</w:t>
            </w:r>
          </w:p>
          <w:p w14:paraId="10890073" w14:textId="77777777" w:rsidR="00604B35" w:rsidRDefault="00604B35" w:rsidP="00604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72E2FBD7" w14:textId="77777777" w:rsidR="00604B35" w:rsidRDefault="00604B35" w:rsidP="00604B35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08E44C90" w14:textId="77777777" w:rsidR="00604B35" w:rsidRDefault="00604B35" w:rsidP="00604B35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8"/>
              <w:gridCol w:w="2206"/>
              <w:gridCol w:w="4677"/>
              <w:gridCol w:w="1099"/>
              <w:gridCol w:w="1159"/>
              <w:gridCol w:w="1505"/>
            </w:tblGrid>
            <w:tr w:rsidR="00604B35" w:rsidRPr="0057258A" w14:paraId="285B62A6" w14:textId="77777777" w:rsidTr="00BE1AE2">
              <w:trPr>
                <w:trHeight w:val="1226"/>
                <w:jc w:val="center"/>
              </w:trPr>
              <w:tc>
                <w:tcPr>
                  <w:tcW w:w="562" w:type="dxa"/>
                </w:tcPr>
                <w:p w14:paraId="3959E1B1" w14:textId="77777777" w:rsidR="00604B35" w:rsidRPr="0057258A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2268" w:type="dxa"/>
                </w:tcPr>
                <w:p w14:paraId="483411AD" w14:textId="77777777" w:rsidR="00604B35" w:rsidRPr="0057258A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1096F38A" w14:textId="77777777" w:rsidR="00604B35" w:rsidRPr="0057258A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0A09B8DF" w14:textId="77777777" w:rsidR="00604B35" w:rsidRPr="0057258A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3205FE48" w14:textId="77777777" w:rsidR="00604B35" w:rsidRPr="0057258A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18" w:type="dxa"/>
                </w:tcPr>
                <w:p w14:paraId="2AF8DDA2" w14:textId="77777777" w:rsidR="00604B35" w:rsidRPr="0057258A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604B35" w:rsidRPr="0057258A" w14:paraId="54D65420" w14:textId="77777777" w:rsidTr="00BE1AE2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54E44921" w14:textId="77777777" w:rsidR="00604B35" w:rsidRPr="00316EC3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4B35" w:rsidRPr="0057258A" w14:paraId="72B2ABEA" w14:textId="77777777" w:rsidTr="00BE1AE2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14:paraId="3D6620FF" w14:textId="77777777" w:rsidR="00604B35" w:rsidRPr="0057258A" w:rsidRDefault="00604B35" w:rsidP="00604B35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20CBA85" w14:textId="77777777" w:rsidR="00604B35" w:rsidRPr="006A6E0F" w:rsidRDefault="00604B35" w:rsidP="00604B35">
                  <w:pPr>
                    <w:pStyle w:val="Default"/>
                  </w:pPr>
                  <w:r w:rsidRPr="001A6A8D">
                    <w:t xml:space="preserve">Генератор бензиновий </w:t>
                  </w:r>
                  <w:proofErr w:type="spellStart"/>
                  <w:r w:rsidRPr="001A6A8D">
                    <w:t>інверторний</w:t>
                  </w:r>
                  <w:proofErr w:type="spellEnd"/>
                  <w:r w:rsidRPr="001A6A8D">
                    <w:t xml:space="preserve"> </w:t>
                  </w:r>
                  <w:proofErr w:type="spellStart"/>
                  <w:r w:rsidRPr="001A6A8D">
                    <w:t>Kоnner&amp;Sohnen</w:t>
                  </w:r>
                  <w:proofErr w:type="spellEnd"/>
                  <w:r w:rsidRPr="001A6A8D">
                    <w:t xml:space="preserve"> KS3300i або еквівалент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14:paraId="0D5C38AA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Напруга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 230</w:t>
                  </w:r>
                </w:p>
                <w:p w14:paraId="25F69C03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Максимальна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кВт 3.3</w:t>
                  </w:r>
                </w:p>
                <w:p w14:paraId="00CBF928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Номінальна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кВт 3</w:t>
                  </w:r>
                </w:p>
                <w:p w14:paraId="2C2233BF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Частота, Гц 50</w:t>
                  </w:r>
                </w:p>
                <w:p w14:paraId="3727F36A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Максимальний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струм, А 14.4</w:t>
                  </w:r>
                </w:p>
                <w:p w14:paraId="12B2045D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Розетки 2 x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Schuko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230 V</w:t>
                  </w:r>
                </w:p>
                <w:p w14:paraId="525E0D4B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Тип запуску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Ручний</w:t>
                  </w:r>
                  <w:proofErr w:type="spellEnd"/>
                </w:p>
                <w:p w14:paraId="7D30E835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паливного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баку, л Не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</w:t>
                  </w:r>
                </w:p>
                <w:p w14:paraId="58494405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Led дисплей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Лічильник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мотогодин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частота, вольтаж</w:t>
                  </w:r>
                </w:p>
                <w:p w14:paraId="0DC35CF2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Рівень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шуму,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LpA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(7m)/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LwA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1AD15D53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дБ Не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71/96</w:t>
                  </w:r>
                </w:p>
                <w:p w14:paraId="6CF5EF79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Вихід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12В, А 12В/8.3А</w:t>
                  </w:r>
                </w:p>
                <w:p w14:paraId="31F0E93F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Об’єм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см3 208</w:t>
                  </w:r>
                </w:p>
                <w:p w14:paraId="0230EC22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бензиновий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1-циліндровий, 4-тактний, з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повітряним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охолодженням</w:t>
                  </w:r>
                  <w:proofErr w:type="spellEnd"/>
                </w:p>
                <w:p w14:paraId="29DF8A74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к.с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Не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5.5</w:t>
                  </w:r>
                </w:p>
                <w:p w14:paraId="7FCF3D29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масляного картера, л Не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0.6</w:t>
                  </w:r>
                </w:p>
                <w:p w14:paraId="4C6A4781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Обмотка альтернатора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Мідь</w:t>
                  </w:r>
                  <w:proofErr w:type="spellEnd"/>
                </w:p>
                <w:p w14:paraId="2445F236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захисту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IP23M</w:t>
                  </w:r>
                </w:p>
                <w:p w14:paraId="2A69CCFF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Габарити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брутто, мм 450x380x460</w:t>
                  </w:r>
                </w:p>
                <w:p w14:paraId="37EA2223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Вага нетто, кг Не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25.5</w:t>
                  </w:r>
                </w:p>
                <w:p w14:paraId="2C2C67D7" w14:textId="77777777" w:rsidR="00604B35" w:rsidRPr="00E3343B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Вага брутто, кг Не </w:t>
                  </w:r>
                  <w:proofErr w:type="spellStart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E334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28.0</w:t>
                  </w:r>
                </w:p>
                <w:p w14:paraId="3E9875C0" w14:textId="77777777" w:rsidR="00604B35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Гарантія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року </w:t>
                  </w:r>
                </w:p>
                <w:p w14:paraId="79EA2DFF" w14:textId="77777777" w:rsidR="00604B35" w:rsidRPr="00A85E08" w:rsidRDefault="00604B35" w:rsidP="00604B35">
                  <w:pPr>
                    <w:spacing w:after="0" w:line="240" w:lineRule="auto"/>
                  </w:pP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Комплектація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Генератор; - упаковка; - </w:t>
                  </w: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інструкція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експлуатації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27F39B61" w14:textId="77777777" w:rsidR="00604B35" w:rsidRPr="000F0320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штуки</w:t>
                  </w:r>
                </w:p>
              </w:tc>
              <w:tc>
                <w:tcPr>
                  <w:tcW w:w="1134" w:type="dxa"/>
                </w:tcPr>
                <w:p w14:paraId="479CA8F0" w14:textId="77777777" w:rsidR="00604B35" w:rsidRPr="00C17C02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009CAB7" w14:textId="77777777" w:rsidR="00604B35" w:rsidRPr="0057258A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Німеччина</w:t>
                  </w:r>
                  <w:proofErr w:type="spellEnd"/>
                </w:p>
              </w:tc>
            </w:tr>
            <w:tr w:rsidR="00604B35" w:rsidRPr="0057258A" w14:paraId="06C4A8E0" w14:textId="77777777" w:rsidTr="00BE1AE2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14:paraId="4B7A1D41" w14:textId="77777777" w:rsidR="00604B35" w:rsidRDefault="00604B35" w:rsidP="00604B35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6C11A29" w14:textId="77777777" w:rsidR="00604B35" w:rsidRPr="00294A0F" w:rsidRDefault="00604B35" w:rsidP="00604B35">
                  <w:pPr>
                    <w:pStyle w:val="Default"/>
                  </w:pPr>
                  <w:r w:rsidRPr="00294A0F">
                    <w:t xml:space="preserve">Генератор бензиновий </w:t>
                  </w:r>
                  <w:proofErr w:type="spellStart"/>
                  <w:r w:rsidRPr="00294A0F">
                    <w:t>інверторний</w:t>
                  </w:r>
                  <w:proofErr w:type="spellEnd"/>
                  <w:r w:rsidRPr="00294A0F">
                    <w:t xml:space="preserve"> </w:t>
                  </w:r>
                  <w:proofErr w:type="spellStart"/>
                  <w:r w:rsidRPr="00294A0F">
                    <w:t>Kоnner&amp;Sohnen</w:t>
                  </w:r>
                  <w:proofErr w:type="spellEnd"/>
                  <w:r w:rsidRPr="00294A0F">
                    <w:t xml:space="preserve"> KS5500іЕ</w:t>
                  </w:r>
                  <w:r w:rsidRPr="00294A0F">
                    <w:rPr>
                      <w:lang w:val="en-US"/>
                    </w:rPr>
                    <w:t>S ATSR</w:t>
                  </w:r>
                  <w:r w:rsidRPr="00294A0F">
                    <w:t xml:space="preserve"> "або еквівалент"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14:paraId="59155EAD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Напруга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 220-230</w:t>
                  </w:r>
                </w:p>
                <w:p w14:paraId="23DDED23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Максимальна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кВт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5.5</w:t>
                  </w:r>
                </w:p>
                <w:p w14:paraId="13DF2CD6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Номінальна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кВт не</w:t>
                  </w:r>
                </w:p>
                <w:p w14:paraId="73C7CE67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5.0</w:t>
                  </w:r>
                </w:p>
                <w:p w14:paraId="53463C41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Частота, Гц 50</w:t>
                  </w:r>
                </w:p>
                <w:p w14:paraId="488266C0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Сила струму макс., А 23.9</w:t>
                  </w:r>
                </w:p>
                <w:p w14:paraId="4DACA51F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Розетки 1x16А, 1x32А</w:t>
                  </w:r>
                </w:p>
                <w:p w14:paraId="73477A23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запуску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Ручний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</w:t>
                  </w:r>
                  <w:proofErr w:type="spellEnd"/>
                </w:p>
                <w:p w14:paraId="182595CA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паливного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баку, л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13.5</w:t>
                  </w:r>
                </w:p>
                <w:p w14:paraId="74F030A2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навантаженні</w:t>
                  </w:r>
                  <w:proofErr w:type="spellEnd"/>
                </w:p>
                <w:p w14:paraId="3D86B747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50%, год***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8.4</w:t>
                  </w:r>
                </w:p>
                <w:p w14:paraId="74320584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LED-дисплей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Багатофункційний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навантаження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рівень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пального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частота, вольтаж,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лічильник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мотогодин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індикатор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рівня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оливи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індикатор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перенавантаження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індикатор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</w:p>
                <w:p w14:paraId="3E0A9A48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Рівень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шуму,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LpA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(7m)/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LwA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37CD836A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дБ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66/91</w:t>
                  </w:r>
                </w:p>
                <w:p w14:paraId="62374961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Вихід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12В, А 12В/8.3A</w:t>
                  </w:r>
                </w:p>
                <w:p w14:paraId="7E070033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USB-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виходи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5B/1A, 5B/2.1A</w:t>
                  </w:r>
                </w:p>
                <w:p w14:paraId="6D9FAF4B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Об’єм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см3 312</w:t>
                  </w:r>
                </w:p>
                <w:p w14:paraId="2214B95F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Бензиновий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1-циліндровий, 4-тактний з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повітряним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охолодженням</w:t>
                  </w:r>
                  <w:proofErr w:type="spellEnd"/>
                </w:p>
                <w:p w14:paraId="1018455C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к.с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9.5</w:t>
                  </w:r>
                </w:p>
                <w:p w14:paraId="0E2997B7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Можливість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паралельного</w:t>
                  </w:r>
                  <w:proofErr w:type="spellEnd"/>
                </w:p>
                <w:p w14:paraId="6CAE1148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підключення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</w:t>
                  </w:r>
                </w:p>
                <w:p w14:paraId="6CD9F422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Вихід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ATS +</w:t>
                  </w:r>
                </w:p>
                <w:p w14:paraId="0077BBA9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масляного картера, л</w:t>
                  </w:r>
                </w:p>
                <w:p w14:paraId="0C66E6E3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0,85</w:t>
                  </w:r>
                </w:p>
                <w:p w14:paraId="62B4578C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А·год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1,6</w:t>
                  </w:r>
                </w:p>
                <w:p w14:paraId="3B8F8D55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захисту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IP23M</w:t>
                  </w:r>
                </w:p>
                <w:p w14:paraId="0D2DD497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Обмотка альтернатора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Мідь</w:t>
                  </w:r>
                  <w:proofErr w:type="spellEnd"/>
                </w:p>
                <w:p w14:paraId="32416F1C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Коефіцієнт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потужності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cosφ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  <w:p w14:paraId="13505F3D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Габарити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брутто, мм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680x510x605</w:t>
                  </w:r>
                </w:p>
                <w:p w14:paraId="0D626761" w14:textId="77777777" w:rsidR="00604B35" w:rsidRPr="00994913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Вага брутто, кг Не </w:t>
                  </w:r>
                  <w:proofErr w:type="spellStart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9949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57.8</w:t>
                  </w:r>
                </w:p>
                <w:p w14:paraId="13249AE8" w14:textId="77777777" w:rsidR="00604B35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575F43" w14:textId="77777777" w:rsidR="00604B35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Гарантія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року </w:t>
                  </w:r>
                </w:p>
                <w:p w14:paraId="78EE9B40" w14:textId="77777777" w:rsidR="00604B35" w:rsidRPr="001A6A8D" w:rsidRDefault="00604B35" w:rsidP="00604B35">
                  <w:pPr>
                    <w:spacing w:after="0" w:line="240" w:lineRule="auto"/>
                  </w:pP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Комплектація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Генератор; - упаковка; - </w:t>
                  </w: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інструкція</w:t>
                  </w:r>
                  <w:proofErr w:type="spellEnd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294A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експлуатації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74C6E7A6" w14:textId="77777777" w:rsidR="00604B35" w:rsidRPr="00294A0F" w:rsidRDefault="00604B35" w:rsidP="00604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 штуки</w:t>
                  </w:r>
                </w:p>
              </w:tc>
              <w:tc>
                <w:tcPr>
                  <w:tcW w:w="1134" w:type="dxa"/>
                </w:tcPr>
                <w:p w14:paraId="0DB1BFD2" w14:textId="77777777" w:rsidR="00604B35" w:rsidRPr="00C17C02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718A025" w14:textId="77777777" w:rsidR="00604B35" w:rsidRDefault="00604B35" w:rsidP="00604B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8F4F8C" w14:textId="77777777" w:rsidR="00604B35" w:rsidRPr="00194F08" w:rsidRDefault="00604B35" w:rsidP="00604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31EB9436" w14:textId="77777777" w:rsidR="00604B35" w:rsidRPr="00194F08" w:rsidRDefault="00604B35" w:rsidP="00604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35A1BA1A" w14:textId="77777777" w:rsidR="00604B35" w:rsidRDefault="00604B35" w:rsidP="0060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86D5329" w14:textId="77777777" w:rsidR="00604B35" w:rsidRDefault="00604B35" w:rsidP="00604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351C0BF6" w14:textId="77777777" w:rsidR="00604B35" w:rsidRDefault="00604B35" w:rsidP="00604B35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10039B76" w14:textId="77777777" w:rsidR="00604B35" w:rsidRPr="0012609E" w:rsidRDefault="00604B35" w:rsidP="00604B3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6FAF18" w14:textId="77777777" w:rsidR="00604B35" w:rsidRPr="00884CBC" w:rsidRDefault="00604B35" w:rsidP="00604B3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604B35" w:rsidRPr="00E228DB" w14:paraId="1F8F3215" w14:textId="77777777" w:rsidTr="00BE1AE2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D1285" w14:textId="77777777" w:rsidR="00604B35" w:rsidRPr="00884CBC" w:rsidRDefault="00604B35" w:rsidP="00604B35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1CDC5A40" w14:textId="77777777" w:rsidR="00604B35" w:rsidRPr="00884CBC" w:rsidRDefault="00604B35" w:rsidP="00604B35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4C7F0C3C" w14:textId="77777777" w:rsidR="00604B35" w:rsidRPr="00884CBC" w:rsidRDefault="00604B35" w:rsidP="00604B35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41054279" w14:textId="77777777" w:rsidR="00604B35" w:rsidRPr="00884CBC" w:rsidRDefault="00604B35" w:rsidP="00604B35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01D3EC49" w14:textId="77777777" w:rsidR="00604B35" w:rsidRPr="00884CBC" w:rsidRDefault="00604B35" w:rsidP="00604B35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C5535" w14:textId="77777777" w:rsidR="00604B35" w:rsidRPr="00884CBC" w:rsidRDefault="00604B35" w:rsidP="00604B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6BFD9DEE" w14:textId="77777777" w:rsidR="00604B35" w:rsidRPr="00884CBC" w:rsidRDefault="00604B35" w:rsidP="00604B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BA0B5D5" w14:textId="77777777" w:rsidR="00604B35" w:rsidRPr="00884CBC" w:rsidRDefault="00604B35" w:rsidP="00604B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5F6CAEAD" w14:textId="77777777" w:rsidR="00604B35" w:rsidRPr="00884CBC" w:rsidRDefault="00604B35" w:rsidP="00604B35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61E41" w14:textId="77777777" w:rsidR="00604B35" w:rsidRPr="00884CBC" w:rsidRDefault="00604B35" w:rsidP="00604B3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383AC" w14:textId="77777777" w:rsidR="00604B35" w:rsidRPr="00884CBC" w:rsidRDefault="00604B35" w:rsidP="00604B3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 (*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538105E0" w14:textId="77777777" w:rsidR="00604B35" w:rsidRPr="0012609E" w:rsidRDefault="00604B35" w:rsidP="00604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7CB4FB3" w14:textId="77777777" w:rsidR="00604B35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Інші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6DBD3A06" w14:textId="77777777" w:rsidR="00604B35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Запропоновані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моделі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повинні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бути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сучасними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повинно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ввозитися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територію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через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офіційні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канали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сплатою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всіх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необхідних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податків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зборів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Замовник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залишає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собою право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запросити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перевірку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моделей та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серійних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номерів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постачається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 локального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офісу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виробника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відмовитися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від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в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разі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неофіційного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ввозу. Для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підтвердження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сучасності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офіційності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постачання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територію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надати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листа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від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виробника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офіційного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представника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офіційного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дистриб’ютора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із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зазначенням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найменування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постачальника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а також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згідно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оголошення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найменування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Замовника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найменування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запропонованого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Товару, номера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оприлюднення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оголошення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веб-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порталі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Уповноваженого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органу. </w:t>
            </w:r>
          </w:p>
          <w:p w14:paraId="0F67FAA2" w14:textId="77777777" w:rsidR="00604B35" w:rsidRPr="00974ED1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Генератор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упакований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належним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чином,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забезпечує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його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збереження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зберіганні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Упаковка повинна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безпечною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вантажно-розвантажувальних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роботах. </w:t>
            </w:r>
          </w:p>
          <w:p w14:paraId="2306D578" w14:textId="77777777" w:rsidR="00604B35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Товар повинен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вимогам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діючих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документів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підтверджують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товару.</w:t>
            </w:r>
          </w:p>
          <w:p w14:paraId="58383469" w14:textId="77777777" w:rsidR="00604B35" w:rsidRPr="0012609E" w:rsidRDefault="00604B35" w:rsidP="00604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lastRenderedPageBreak/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3F757C" w14:textId="77777777" w:rsidR="00604B35" w:rsidRPr="00974ED1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тендерної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пропозиції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яку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згоден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виконати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замовлення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розраховується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підставі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потреби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трудових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матеріально-технічних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ресурсах,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необхідних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товару.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генератора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включати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вартість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обов’язків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доставку,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страхування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податків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зборів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сплачуються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інших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тощо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комплектуючих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завдання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передбачається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умов договору.</w:t>
            </w:r>
          </w:p>
          <w:p w14:paraId="408B11FB" w14:textId="77777777" w:rsidR="00604B35" w:rsidRPr="00974ED1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Перевірка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і упаковки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здійснюються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 момент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отримання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Обмін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неякісного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відбувається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рахунок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).</w:t>
            </w:r>
          </w:p>
          <w:p w14:paraId="323D8E72" w14:textId="77777777" w:rsidR="00604B35" w:rsidRDefault="00604B35" w:rsidP="00604B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повинен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сертифікату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сертифікату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/паспорту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декларації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відповідність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висновку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іншого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F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1C09FE">
              <w:rPr>
                <w:rFonts w:ascii="Times New Roman" w:hAnsi="Times New Roman"/>
                <w:sz w:val="24"/>
                <w:szCs w:val="24"/>
              </w:rPr>
              <w:t xml:space="preserve"> на товар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8E7118" w14:textId="77777777" w:rsidR="00604B35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протягом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гарантійного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строку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будуть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приховані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дефекти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несправності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могли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прийому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товару, товар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підлягає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7C3D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довідку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формі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пропонується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3995A313" w14:textId="77777777" w:rsidR="00604B35" w:rsidRPr="00974ED1" w:rsidRDefault="00604B35" w:rsidP="00604B35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Обов’язковою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умовою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є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наявність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сервісних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центрів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Україні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гарантійного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післягарантійного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обслуговування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предмету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закупівлі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повинен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надати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перелік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таких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сервісних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центрів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із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зазначенням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контактних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>номерів</w:t>
            </w:r>
            <w:proofErr w:type="spellEnd"/>
            <w:r w:rsidRPr="00256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адрес.</w:t>
            </w:r>
          </w:p>
          <w:p w14:paraId="3C9DE565" w14:textId="77777777" w:rsidR="00604B35" w:rsidRDefault="00604B35" w:rsidP="00604B3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14:paraId="10763733" w14:textId="77777777" w:rsidR="00604B35" w:rsidRPr="00F42125" w:rsidRDefault="00604B35" w:rsidP="00604B3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Також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учасникам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необхідно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врахувати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інформацію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щодо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переліку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міжнародних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спонсорів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війни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та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утриматись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надання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пропозицій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виробників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зазначених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переліку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14:paraId="22305B66" w14:textId="77777777" w:rsidR="00604B35" w:rsidRDefault="00604B35" w:rsidP="00604B35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0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2F108D" w14:textId="77777777" w:rsidR="00604B35" w:rsidRDefault="00604B35" w:rsidP="00604B35">
            <w:pPr>
              <w:tabs>
                <w:tab w:val="left" w:pos="5421"/>
              </w:tabs>
              <w:spacing w:after="0" w:line="240" w:lineRule="auto"/>
              <w:ind w:left="-142" w:right="-58" w:firstLine="42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9AC96B" w14:textId="77777777" w:rsidR="00604B35" w:rsidRDefault="00604B35" w:rsidP="00604B35"/>
          <w:p w14:paraId="21A21BFA" w14:textId="292DB955" w:rsidR="00F538B3" w:rsidRPr="0012609E" w:rsidRDefault="00F538B3" w:rsidP="00604B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705A6F41" w14:textId="6EEEB773" w:rsidR="00AB34E3" w:rsidRPr="008037ED" w:rsidRDefault="00AB34E3" w:rsidP="00604B35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328A86C3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58E3B458" w:rsidR="000358FC" w:rsidRPr="001F38B0" w:rsidRDefault="00604B35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319000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,00</w:t>
            </w:r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Триста дев’ятнадцять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00 </w:t>
            </w:r>
            <w:proofErr w:type="spellStart"/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048613D" w14:textId="575B5AFB" w:rsidR="00F538B3" w:rsidRPr="00F538B3" w:rsidRDefault="006A0513" w:rsidP="00F538B3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генераторів.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</w:p>
          <w:p w14:paraId="39FEDF53" w14:textId="43C7226C" w:rsidR="000358FC" w:rsidRPr="00171BC7" w:rsidRDefault="000358FC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33627"/>
    <w:rsid w:val="00352B90"/>
    <w:rsid w:val="00355CCB"/>
    <w:rsid w:val="004426EA"/>
    <w:rsid w:val="0044284E"/>
    <w:rsid w:val="0049725D"/>
    <w:rsid w:val="004A4670"/>
    <w:rsid w:val="0058607F"/>
    <w:rsid w:val="005915E8"/>
    <w:rsid w:val="00591833"/>
    <w:rsid w:val="005B418E"/>
    <w:rsid w:val="00604B35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6813</Words>
  <Characters>3884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2025-03-10T09:50:00Z</cp:lastPrinted>
  <dcterms:created xsi:type="dcterms:W3CDTF">2022-07-25T09:06:00Z</dcterms:created>
  <dcterms:modified xsi:type="dcterms:W3CDTF">2025-07-17T12:38:00Z</dcterms:modified>
</cp:coreProperties>
</file>