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5848" w14:textId="2190318C" w:rsidR="00C13513" w:rsidRPr="00C13513" w:rsidRDefault="00C13513" w:rsidP="00C13513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C13513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</w:t>
      </w:r>
      <w:r w:rsidRPr="00C135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744FC1" wp14:editId="5D66664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B2B3" w14:textId="77777777" w:rsidR="00C13513" w:rsidRPr="00C13513" w:rsidRDefault="00C13513" w:rsidP="00C1351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C1351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C13513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C1351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01E35047" w14:textId="77777777" w:rsidR="00C13513" w:rsidRPr="00C13513" w:rsidRDefault="00C13513" w:rsidP="00C1351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351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C13513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5E340CD" w14:textId="77777777" w:rsidR="00C13513" w:rsidRPr="00C13513" w:rsidRDefault="00C13513" w:rsidP="00C135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1351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9C99FC0" w14:textId="33C95AD8" w:rsidR="00C13513" w:rsidRPr="00C13513" w:rsidRDefault="00C13513" w:rsidP="00C1351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C13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C13513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C13513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13513">
        <w:rPr>
          <w:rFonts w:ascii="Times New Roman" w:hAnsi="Times New Roman" w:cs="Times New Roman"/>
          <w:sz w:val="28"/>
          <w:lang w:val="uk-UA"/>
        </w:rPr>
        <w:t>№</w:t>
      </w:r>
      <w:r w:rsidRPr="00C13513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31</w:t>
      </w:r>
      <w:r w:rsidRPr="00C13513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C13513">
        <w:rPr>
          <w:rFonts w:ascii="Times New Roman" w:hAnsi="Times New Roman" w:cs="Times New Roman"/>
          <w:sz w:val="28"/>
          <w:u w:val="single"/>
        </w:rPr>
        <w:t>V</w:t>
      </w:r>
      <w:r w:rsidRPr="00C13513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C13513">
        <w:rPr>
          <w:rFonts w:ascii="Times New Roman" w:hAnsi="Times New Roman" w:cs="Times New Roman"/>
          <w:sz w:val="28"/>
          <w:lang w:val="uk-UA"/>
        </w:rPr>
        <w:tab/>
        <w:t xml:space="preserve">                            </w:t>
      </w:r>
      <w:r w:rsidRPr="00C13513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C13513">
        <w:rPr>
          <w:rFonts w:ascii="Times New Roman" w:hAnsi="Times New Roman" w:cs="Times New Roman"/>
          <w:sz w:val="28"/>
          <w:lang w:val="uk-UA"/>
        </w:rPr>
        <w:t xml:space="preserve"> </w:t>
      </w:r>
      <w:r w:rsidRPr="00C13513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C135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C1351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C135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39F66377" w14:textId="77777777" w:rsidR="00275321" w:rsidRPr="00C13513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5294D6" w14:textId="77777777" w:rsidR="00636369" w:rsidRPr="003A170A" w:rsidRDefault="00636369" w:rsidP="007709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4724AFF5" w14:textId="77777777" w:rsidR="00275321" w:rsidRPr="003A170A" w:rsidRDefault="00275321" w:rsidP="002A0844">
      <w:pPr>
        <w:suppressAutoHyphens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8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24.12.2021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 </w:t>
      </w:r>
      <w:r w:rsidR="003E17E1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657F1827" w14:textId="77777777" w:rsidR="00EC1F25" w:rsidRPr="003A170A" w:rsidRDefault="00EC1F25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7CE7B50" w14:textId="23E1CAF3" w:rsidR="00275321" w:rsidRPr="003A170A" w:rsidRDefault="00275321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 </w:t>
      </w:r>
      <w:r w:rsidR="00B83A0A" w:rsidRPr="003A170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внесенні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міської територіальної громади на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показниками  бюджету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2023-2024 роки,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275DA287" w14:textId="77777777" w:rsidR="00275321" w:rsidRPr="003A170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30CF30" w14:textId="77777777" w:rsidR="00275321" w:rsidRPr="00C13513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</w:t>
      </w:r>
      <w:r w:rsidRPr="00C13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В И Р І Ш  И Л А:</w:t>
      </w:r>
    </w:p>
    <w:p w14:paraId="41893C7A" w14:textId="77777777" w:rsidR="00EC1F25" w:rsidRPr="003A170A" w:rsidRDefault="00EC1F25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BA86CE" w14:textId="69C1DBF1" w:rsidR="00EC1F25" w:rsidRPr="001315F1" w:rsidRDefault="002B6B4F" w:rsidP="002A08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20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</w:t>
      </w:r>
      <w:r w:rsidR="003E17E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від 24.12.2021 року № 701</w:t>
      </w:r>
      <w:r w:rsidR="0086235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викласти в новій редакції</w:t>
      </w:r>
      <w:r w:rsidR="001315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4D27AFB" w14:textId="489717FF" w:rsidR="00EC1F25" w:rsidRPr="002A0844" w:rsidRDefault="00EC1F25" w:rsidP="002A084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  <w:r w:rsidRPr="003A170A">
        <w:rPr>
          <w:sz w:val="28"/>
          <w:szCs w:val="28"/>
          <w:lang w:val="uk-UA"/>
        </w:rPr>
        <w:t xml:space="preserve">2. Контроль за виконанням цього рішення покласти на постійну депутатську комісію </w:t>
      </w:r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(</w:t>
      </w:r>
      <w:proofErr w:type="spellStart"/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>О.Євтушок</w:t>
      </w:r>
      <w:proofErr w:type="spellEnd"/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>)</w:t>
      </w:r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1315F1" w:rsidRPr="002A0844">
        <w:rPr>
          <w:rStyle w:val="a8"/>
          <w:b w:val="0"/>
          <w:bCs w:val="0"/>
          <w:color w:val="000000"/>
          <w:sz w:val="28"/>
          <w:szCs w:val="28"/>
          <w:lang w:val="uk-UA"/>
        </w:rPr>
        <w:t>та</w:t>
      </w:r>
      <w:r w:rsidR="001315F1" w:rsidRPr="002A0844">
        <w:rPr>
          <w:sz w:val="28"/>
          <w:szCs w:val="28"/>
          <w:lang w:val="uk-UA"/>
        </w:rPr>
        <w:t xml:space="preserve"> на постійну  депутатську  коміс</w:t>
      </w:r>
      <w:r w:rsidR="002A0844">
        <w:rPr>
          <w:sz w:val="28"/>
          <w:szCs w:val="28"/>
          <w:lang w:val="uk-UA"/>
        </w:rPr>
        <w:t>ію</w:t>
      </w:r>
      <w:r w:rsidR="001315F1" w:rsidRPr="002A0844">
        <w:rPr>
          <w:sz w:val="28"/>
          <w:szCs w:val="28"/>
          <w:lang w:val="uk-UA"/>
        </w:rPr>
        <w:t xml:space="preserve"> з питань фінансів, бюджету та соціально-економічного розвитку (</w:t>
      </w:r>
      <w:proofErr w:type="spellStart"/>
      <w:r w:rsidR="001315F1" w:rsidRPr="002A0844">
        <w:rPr>
          <w:sz w:val="28"/>
          <w:szCs w:val="28"/>
          <w:lang w:val="uk-UA"/>
        </w:rPr>
        <w:t>О.Поліщк</w:t>
      </w:r>
      <w:proofErr w:type="spellEnd"/>
      <w:r w:rsidR="001315F1" w:rsidRPr="002A0844">
        <w:rPr>
          <w:sz w:val="28"/>
          <w:szCs w:val="28"/>
          <w:lang w:val="uk-UA"/>
        </w:rPr>
        <w:t>)</w:t>
      </w:r>
    </w:p>
    <w:p w14:paraId="79C4C978" w14:textId="77777777" w:rsidR="00EC1F25" w:rsidRPr="002A0844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0D71FC14" w14:textId="77777777" w:rsidR="00EC1F25" w:rsidRPr="003A170A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7FCDB9EE" w14:textId="0B85472D" w:rsidR="00EC1F25" w:rsidRPr="001315F1" w:rsidRDefault="00EC1F25" w:rsidP="001315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Тетяна ЄРМОЛАЄВА </w:t>
      </w:r>
    </w:p>
    <w:p w14:paraId="45D2C8FE" w14:textId="5647E47D" w:rsidR="001315F1" w:rsidRPr="00C13513" w:rsidRDefault="00C13513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079E485" w14:textId="1F1564D5" w:rsidR="001315F1" w:rsidRDefault="001315F1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2C9F58E" w14:textId="68DE0893" w:rsidR="00C13513" w:rsidRDefault="00C13513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8FBCDE3" w14:textId="77777777" w:rsidR="00C13513" w:rsidRPr="001315F1" w:rsidRDefault="00C13513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D9CE52C" w14:textId="2547EEA5" w:rsidR="00C13513" w:rsidRPr="00C13513" w:rsidRDefault="00C13513" w:rsidP="00C1351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1351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Pr="00C135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  </w:t>
      </w:r>
    </w:p>
    <w:p w14:paraId="452CBF6B" w14:textId="1D0C6C9B" w:rsidR="00C13513" w:rsidRPr="00C13513" w:rsidRDefault="00C13513" w:rsidP="00C13513">
      <w:pPr>
        <w:rPr>
          <w:rFonts w:ascii="Times New Roman" w:hAnsi="Times New Roman" w:cs="Times New Roman"/>
          <w:bCs/>
          <w:sz w:val="24"/>
          <w:szCs w:val="24"/>
        </w:rPr>
      </w:pPr>
      <w:r w:rsidRPr="00C135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C135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C13513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C13513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C135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1351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C1351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13513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C1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3513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C13513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r w:rsidRPr="00C13513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C1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3513"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 w:rsidRPr="00C135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B84C87" w14:textId="7E5A8017" w:rsidR="00C13513" w:rsidRDefault="00C13513" w:rsidP="00C13513">
      <w:pPr>
        <w:pStyle w:val="31"/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gramStart"/>
      <w:r w:rsidRPr="00444D94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uk-UA"/>
        </w:rPr>
        <w:t>12</w:t>
      </w:r>
      <w:r>
        <w:rPr>
          <w:bCs/>
          <w:sz w:val="24"/>
          <w:szCs w:val="24"/>
          <w:u w:val="single"/>
          <w:lang w:val="uk-UA"/>
        </w:rPr>
        <w:t>31</w:t>
      </w:r>
      <w:proofErr w:type="gramEnd"/>
      <w:r w:rsidRPr="00444D94">
        <w:rPr>
          <w:sz w:val="24"/>
          <w:szCs w:val="24"/>
          <w:u w:val="single"/>
        </w:rPr>
        <w:t>-</w:t>
      </w:r>
      <w:r w:rsidRPr="00444D94">
        <w:rPr>
          <w:sz w:val="24"/>
          <w:szCs w:val="24"/>
          <w:u w:val="single"/>
          <w:lang w:val="en-US"/>
        </w:rPr>
        <w:t>V</w:t>
      </w:r>
      <w:r>
        <w:rPr>
          <w:sz w:val="24"/>
          <w:szCs w:val="24"/>
          <w:u w:val="single"/>
        </w:rPr>
        <w:t>ІІ</w:t>
      </w:r>
      <w:r w:rsidRPr="00444D94">
        <w:rPr>
          <w:sz w:val="24"/>
          <w:szCs w:val="24"/>
          <w:u w:val="single"/>
        </w:rPr>
        <w:t xml:space="preserve">І </w:t>
      </w:r>
      <w:proofErr w:type="spellStart"/>
      <w:r w:rsidRPr="00444D94">
        <w:rPr>
          <w:bCs/>
          <w:sz w:val="24"/>
          <w:szCs w:val="24"/>
        </w:rPr>
        <w:t>від</w:t>
      </w:r>
      <w:proofErr w:type="spellEnd"/>
      <w:r w:rsidRPr="00444D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18.01.2024</w:t>
      </w:r>
      <w:r w:rsidRPr="00444D94">
        <w:rPr>
          <w:bCs/>
          <w:sz w:val="24"/>
          <w:szCs w:val="24"/>
          <w:u w:val="single"/>
        </w:rPr>
        <w:t xml:space="preserve"> р</w:t>
      </w:r>
      <w:r w:rsidRPr="00444D94">
        <w:rPr>
          <w:bCs/>
          <w:sz w:val="24"/>
          <w:szCs w:val="24"/>
        </w:rPr>
        <w:t>.</w:t>
      </w:r>
    </w:p>
    <w:p w14:paraId="6E4ED967" w14:textId="77777777" w:rsidR="00094007" w:rsidRPr="003A170A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73B07" w14:textId="77777777" w:rsidR="009C6A8D" w:rsidRPr="00002878" w:rsidRDefault="009C6A8D" w:rsidP="00131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66D6F4C" w14:textId="2674F831" w:rsidR="001315F1" w:rsidRPr="002A0844" w:rsidRDefault="009C6A8D" w:rsidP="002A0844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</w:t>
      </w:r>
      <w:r w:rsidR="000028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0066072B" w14:textId="77777777" w:rsidR="002A0844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34710B0D" w14:textId="248516EB" w:rsidR="009C6A8D" w:rsidRPr="003A170A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1. Паспорт програми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2325"/>
        <w:gridCol w:w="2494"/>
      </w:tblGrid>
      <w:tr w:rsidR="009C6A8D" w:rsidRPr="003A170A" w14:paraId="29E520F4" w14:textId="77777777" w:rsidTr="00002878">
        <w:trPr>
          <w:trHeight w:val="554"/>
        </w:trPr>
        <w:tc>
          <w:tcPr>
            <w:tcW w:w="706" w:type="dxa"/>
            <w:shd w:val="clear" w:color="auto" w:fill="auto"/>
          </w:tcPr>
          <w:p w14:paraId="6FC1C41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1</w:t>
            </w:r>
          </w:p>
        </w:tc>
        <w:tc>
          <w:tcPr>
            <w:tcW w:w="4253" w:type="dxa"/>
            <w:shd w:val="clear" w:color="auto" w:fill="auto"/>
          </w:tcPr>
          <w:p w14:paraId="778BB1EA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5355405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6FF52116" w14:textId="77777777" w:rsidTr="00002878">
        <w:trPr>
          <w:trHeight w:val="723"/>
        </w:trPr>
        <w:tc>
          <w:tcPr>
            <w:tcW w:w="706" w:type="dxa"/>
            <w:shd w:val="clear" w:color="auto" w:fill="auto"/>
          </w:tcPr>
          <w:p w14:paraId="562E0203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E1010F8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967D8CF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4C147DF7" w14:textId="77777777" w:rsidTr="00002878">
        <w:trPr>
          <w:trHeight w:val="637"/>
        </w:trPr>
        <w:tc>
          <w:tcPr>
            <w:tcW w:w="706" w:type="dxa"/>
            <w:shd w:val="clear" w:color="auto" w:fill="auto"/>
          </w:tcPr>
          <w:p w14:paraId="2A03496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B247499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099EC8C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C13513" w14:paraId="7F76081B" w14:textId="77777777" w:rsidTr="00002878">
        <w:trPr>
          <w:trHeight w:val="1658"/>
        </w:trPr>
        <w:tc>
          <w:tcPr>
            <w:tcW w:w="706" w:type="dxa"/>
            <w:shd w:val="clear" w:color="auto" w:fill="auto"/>
          </w:tcPr>
          <w:p w14:paraId="49315508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497E7C1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A29467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42242396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суб’єкти підприємницької діяльності  у сфері організування поховань</w:t>
            </w:r>
          </w:p>
        </w:tc>
      </w:tr>
      <w:tr w:rsidR="009C6A8D" w:rsidRPr="003A170A" w14:paraId="0CA7DEFE" w14:textId="77777777" w:rsidTr="00002878">
        <w:trPr>
          <w:trHeight w:val="351"/>
        </w:trPr>
        <w:tc>
          <w:tcPr>
            <w:tcW w:w="706" w:type="dxa"/>
            <w:shd w:val="clear" w:color="auto" w:fill="auto"/>
          </w:tcPr>
          <w:p w14:paraId="6E21F31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7786A64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96437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9C6A8D" w:rsidRPr="003A170A" w14:paraId="184506A3" w14:textId="77777777" w:rsidTr="00002878">
        <w:trPr>
          <w:trHeight w:val="788"/>
        </w:trPr>
        <w:tc>
          <w:tcPr>
            <w:tcW w:w="706" w:type="dxa"/>
            <w:shd w:val="clear" w:color="auto" w:fill="auto"/>
          </w:tcPr>
          <w:p w14:paraId="1F225B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429147B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70364F6" w14:textId="77777777" w:rsidR="009C6A8D" w:rsidRPr="003A170A" w:rsidRDefault="009C6A8D" w:rsidP="000028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Козятинської міської територіальної громади</w:t>
            </w:r>
          </w:p>
        </w:tc>
      </w:tr>
      <w:tr w:rsidR="009C6A8D" w:rsidRPr="003A170A" w14:paraId="5C2D2FA6" w14:textId="77777777" w:rsidTr="00002878">
        <w:trPr>
          <w:trHeight w:val="435"/>
        </w:trPr>
        <w:tc>
          <w:tcPr>
            <w:tcW w:w="706" w:type="dxa"/>
            <w:vMerge w:val="restart"/>
            <w:shd w:val="clear" w:color="auto" w:fill="auto"/>
          </w:tcPr>
          <w:p w14:paraId="2B1C69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7C143F27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 (</w:t>
            </w:r>
            <w:proofErr w:type="spellStart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2FC7BF4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2022 рік</w:t>
            </w:r>
          </w:p>
        </w:tc>
        <w:tc>
          <w:tcPr>
            <w:tcW w:w="2494" w:type="dxa"/>
            <w:shd w:val="clear" w:color="auto" w:fill="auto"/>
          </w:tcPr>
          <w:p w14:paraId="1D017689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</w:tr>
      <w:tr w:rsidR="009C6A8D" w:rsidRPr="003A170A" w14:paraId="08E8BD82" w14:textId="77777777" w:rsidTr="00002878">
        <w:trPr>
          <w:trHeight w:val="405"/>
        </w:trPr>
        <w:tc>
          <w:tcPr>
            <w:tcW w:w="706" w:type="dxa"/>
            <w:vMerge/>
            <w:shd w:val="clear" w:color="auto" w:fill="auto"/>
          </w:tcPr>
          <w:p w14:paraId="4C89D0E4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5E1F8FA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7BD69E7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2023 рік</w:t>
            </w:r>
          </w:p>
        </w:tc>
        <w:tc>
          <w:tcPr>
            <w:tcW w:w="2494" w:type="dxa"/>
            <w:shd w:val="clear" w:color="auto" w:fill="auto"/>
          </w:tcPr>
          <w:p w14:paraId="7389CF75" w14:textId="77777777" w:rsidR="009C6A8D" w:rsidRPr="003A170A" w:rsidRDefault="00094007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9C6A8D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60E7C4B1" w14:textId="77777777" w:rsidTr="00002878">
        <w:trPr>
          <w:trHeight w:val="600"/>
        </w:trPr>
        <w:tc>
          <w:tcPr>
            <w:tcW w:w="706" w:type="dxa"/>
            <w:vMerge/>
            <w:shd w:val="clear" w:color="auto" w:fill="auto"/>
          </w:tcPr>
          <w:p w14:paraId="63BADD65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2CC5C3D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44FB3CE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2024 рік</w:t>
            </w:r>
          </w:p>
        </w:tc>
        <w:tc>
          <w:tcPr>
            <w:tcW w:w="2494" w:type="dxa"/>
            <w:shd w:val="clear" w:color="auto" w:fill="auto"/>
          </w:tcPr>
          <w:p w14:paraId="755BE186" w14:textId="09C10EC5" w:rsidR="009C6A8D" w:rsidRPr="003A170A" w:rsidRDefault="003A170A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94007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C6A8D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3671B39C" w14:textId="77777777" w:rsidR="009C6A8D" w:rsidRPr="003A170A" w:rsidRDefault="009C6A8D" w:rsidP="009C6A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04446F" w14:textId="77777777" w:rsidR="009C6A8D" w:rsidRPr="003A170A" w:rsidRDefault="009C6A8D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2.Загальні положення програми</w:t>
      </w:r>
    </w:p>
    <w:p w14:paraId="498A4F0A" w14:textId="49D18C2A" w:rsidR="00DB2198" w:rsidRPr="00002878" w:rsidRDefault="009C6A8D" w:rsidP="000028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Програма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</w:t>
      </w:r>
      <w:r w:rsidR="00450331" w:rsidRPr="003A170A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Програма), розроблена відповідно до статей 8 та 16 Закону України «Про поховання та похоронну справу» і спрямована на здійснення діяльності з поховання померлих та</w:t>
      </w:r>
      <w:r w:rsidRPr="003A170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A1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встановлює гарантії належного ставлення до тіла померлого та збереження місця поховання.</w:t>
      </w:r>
    </w:p>
    <w:p w14:paraId="5A0700A2" w14:textId="229E1109" w:rsidR="009C6A8D" w:rsidRPr="003A170A" w:rsidRDefault="00002878" w:rsidP="0000287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3.Мета програми</w:t>
      </w:r>
    </w:p>
    <w:p w14:paraId="59B02410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Програми є забезпечення вимог статті 16 Закону України «Про поховання та похоронну справу». </w:t>
      </w:r>
    </w:p>
    <w:p w14:paraId="55645227" w14:textId="0E037F65" w:rsidR="009C6A8D" w:rsidRPr="003A170A" w:rsidRDefault="00002878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C6A8D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авдання програми</w:t>
      </w:r>
    </w:p>
    <w:p w14:paraId="02754030" w14:textId="4AB3AB1D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 реалізації заходів Програми  є організація поховання померлих одиноких громадян,  осіб без певного місця проживання, осіб, від поховання яких відмовилися рідні, знайдених невпізнаних трупів, у разі відсутності родичів або осіб чи установ, які можуть взяти на себе організацію поховання на території Козятинської міської територіальної громади.</w:t>
      </w:r>
    </w:p>
    <w:p w14:paraId="672C11CE" w14:textId="77777777" w:rsidR="009C6A8D" w:rsidRPr="003A170A" w:rsidRDefault="009C6A8D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5.Фінансове забезпечення програми</w:t>
      </w:r>
    </w:p>
    <w:p w14:paraId="20B3F7AA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бюджету Козятинської  міської територіальної громади в межах щорічних бюджетних асигнувань з розрахунку:</w:t>
      </w:r>
    </w:p>
    <w:p w14:paraId="3330E77C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 2022 році не більше 4 000 грн. на одного померлого;</w:t>
      </w:r>
    </w:p>
    <w:p w14:paraId="762D58C2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2023 році не більше 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>5 0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померлого;</w:t>
      </w:r>
    </w:p>
    <w:p w14:paraId="240982D2" w14:textId="65623BB3" w:rsidR="009C6A8D" w:rsidRPr="001315F1" w:rsidRDefault="009C6A8D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2024 році не більше </w:t>
      </w:r>
      <w:r w:rsidR="003A17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померлого.</w:t>
      </w:r>
    </w:p>
    <w:p w14:paraId="5B3ED160" w14:textId="4EAEE9EF" w:rsidR="009C6A8D" w:rsidRPr="003A170A" w:rsidRDefault="009C6A8D" w:rsidP="003A170A">
      <w:pPr>
        <w:ind w:left="144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6. Заходи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232"/>
        <w:gridCol w:w="2255"/>
        <w:gridCol w:w="2032"/>
        <w:gridCol w:w="851"/>
        <w:gridCol w:w="1134"/>
      </w:tblGrid>
      <w:tr w:rsidR="009C6A8D" w:rsidRPr="003A170A" w14:paraId="26D832F7" w14:textId="77777777" w:rsidTr="00002878">
        <w:trPr>
          <w:trHeight w:val="1136"/>
        </w:trPr>
        <w:tc>
          <w:tcPr>
            <w:tcW w:w="527" w:type="dxa"/>
            <w:shd w:val="clear" w:color="auto" w:fill="auto"/>
          </w:tcPr>
          <w:p w14:paraId="13F344C4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2" w:type="dxa"/>
            <w:shd w:val="clear" w:color="auto" w:fill="auto"/>
          </w:tcPr>
          <w:p w14:paraId="76A1D47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Захід програми</w:t>
            </w:r>
          </w:p>
        </w:tc>
        <w:tc>
          <w:tcPr>
            <w:tcW w:w="2255" w:type="dxa"/>
            <w:shd w:val="clear" w:color="auto" w:fill="auto"/>
          </w:tcPr>
          <w:p w14:paraId="3960BB1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32" w:type="dxa"/>
            <w:shd w:val="clear" w:color="auto" w:fill="auto"/>
          </w:tcPr>
          <w:p w14:paraId="4EF61D8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Джерела </w:t>
            </w:r>
          </w:p>
          <w:p w14:paraId="52D7720C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3F246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Обсяги</w:t>
            </w:r>
          </w:p>
          <w:p w14:paraId="47656348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A95FB58" w14:textId="61B0BDF0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6A8D" w:rsidRPr="003A170A" w14:paraId="4B84D621" w14:textId="77777777" w:rsidTr="009E6AD8">
        <w:trPr>
          <w:trHeight w:val="915"/>
        </w:trPr>
        <w:tc>
          <w:tcPr>
            <w:tcW w:w="527" w:type="dxa"/>
            <w:vMerge w:val="restart"/>
            <w:shd w:val="clear" w:color="auto" w:fill="auto"/>
          </w:tcPr>
          <w:p w14:paraId="4F27F8F5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4B86B6E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поховання померлих одиноких громадян, осіб без певного місця проживання, громадян, </w:t>
            </w: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поховання яких відмовилися рідні, знайдених невпізнаних трупів на території Козятинської міської територіальної громади з урахуванням необхідного мінімального переліку вимог щодо порядку організації поховання і ритуального обслуговування населення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0A249FD5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соціальної політики Козятинської міської ради;</w:t>
            </w:r>
          </w:p>
          <w:p w14:paraId="3A1459E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Суб’єкти підприємницької діяльності  у сфері організування поховань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9CA2DF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Козятинської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51386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EE0762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309E226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20,0</w:t>
            </w:r>
          </w:p>
          <w:p w14:paraId="3D99ACB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A8D" w:rsidRPr="003A170A" w14:paraId="6429278B" w14:textId="77777777" w:rsidTr="009E6AD8">
        <w:trPr>
          <w:trHeight w:val="975"/>
        </w:trPr>
        <w:tc>
          <w:tcPr>
            <w:tcW w:w="527" w:type="dxa"/>
            <w:vMerge/>
            <w:shd w:val="clear" w:color="auto" w:fill="auto"/>
          </w:tcPr>
          <w:p w14:paraId="4217996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E6540CA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2D735196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3C0DB6EB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52F1D86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</w:p>
          <w:p w14:paraId="2B8C9AD0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4C1BDE3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40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7FDBEA3A" w14:textId="77777777" w:rsidTr="009E6AD8">
        <w:trPr>
          <w:trHeight w:val="5145"/>
        </w:trPr>
        <w:tc>
          <w:tcPr>
            <w:tcW w:w="527" w:type="dxa"/>
            <w:vMerge/>
            <w:shd w:val="clear" w:color="auto" w:fill="auto"/>
          </w:tcPr>
          <w:p w14:paraId="19DEDC7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5BD447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8F90ECF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5B9D2C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4D8AD68" w14:textId="77777777" w:rsidR="009C6A8D" w:rsidRPr="003A170A" w:rsidRDefault="00094007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</w:p>
          <w:p w14:paraId="67814BB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6641A821" w14:textId="2D5538EA" w:rsidR="009C6A8D" w:rsidRPr="003A170A" w:rsidRDefault="00094007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A48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003B0FB7" w14:textId="77777777" w:rsidR="009C6A8D" w:rsidRPr="003A170A" w:rsidRDefault="009C6A8D" w:rsidP="001315F1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4D68B3C" w14:textId="77777777" w:rsidR="009C6A8D" w:rsidRPr="003A170A" w:rsidRDefault="009C6A8D" w:rsidP="009C6A8D">
      <w:pPr>
        <w:ind w:left="72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Очікувані результати від реалізації програми</w:t>
      </w:r>
    </w:p>
    <w:p w14:paraId="65A87FFF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санітарних норм, завдяки виключенню можливості не поховання померлих одиноких громадян, осіб без певного місця проживання, громадян, від поховання яких відмовилися рідні, знайдених невпізнаних трупів. 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Гідне ставлення до тіла померлого. </w:t>
      </w:r>
    </w:p>
    <w:p w14:paraId="0C4343F7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Унеможливлення випадків не поховання померлих одиноких громадян. </w:t>
      </w:r>
    </w:p>
    <w:p w14:paraId="0B93048B" w14:textId="77777777" w:rsidR="009C6A8D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безперебійної організації поховання померлих одиноких громадян.</w:t>
      </w:r>
    </w:p>
    <w:p w14:paraId="496739BE" w14:textId="77777777" w:rsidR="00002878" w:rsidRPr="003A170A" w:rsidRDefault="00002878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9C6A8D" w:rsidRPr="003A170A" w14:paraId="402DB45E" w14:textId="77777777" w:rsidTr="009E6AD8">
        <w:tc>
          <w:tcPr>
            <w:tcW w:w="610" w:type="dxa"/>
          </w:tcPr>
          <w:p w14:paraId="2222099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8" w:type="dxa"/>
          </w:tcPr>
          <w:p w14:paraId="0ED77998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</w:tcPr>
          <w:p w14:paraId="7B60807A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46D514B" w14:textId="6834A7C6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BA488B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60D4673C" w14:textId="77777777" w:rsidR="009C6A8D" w:rsidRPr="003A170A" w:rsidRDefault="009C6A8D" w:rsidP="000439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F896374" w14:textId="77777777" w:rsidR="00B44513" w:rsidRPr="003A170A" w:rsidRDefault="00B44513" w:rsidP="005F4F7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9403D" w14:textId="77777777" w:rsidR="00275321" w:rsidRPr="003A170A" w:rsidRDefault="00275321" w:rsidP="00770962">
      <w:pPr>
        <w:suppressAutoHyphens/>
        <w:spacing w:after="0" w:line="240" w:lineRule="auto"/>
        <w:ind w:firstLine="708"/>
        <w:rPr>
          <w:sz w:val="20"/>
          <w:szCs w:val="20"/>
          <w:lang w:val="uk-UA"/>
        </w:rPr>
      </w:pPr>
    </w:p>
    <w:p w14:paraId="31E261F7" w14:textId="77777777" w:rsidR="00275321" w:rsidRPr="003A170A" w:rsidRDefault="00275321" w:rsidP="00275321">
      <w:pPr>
        <w:rPr>
          <w:lang w:val="uk-UA"/>
        </w:rPr>
      </w:pPr>
    </w:p>
    <w:p w14:paraId="54D51998" w14:textId="77777777" w:rsidR="00CB2B92" w:rsidRPr="003A170A" w:rsidRDefault="00CB2B92" w:rsidP="00CB2B92">
      <w:pPr>
        <w:ind w:left="7920"/>
        <w:rPr>
          <w:sz w:val="28"/>
          <w:szCs w:val="28"/>
          <w:lang w:val="uk-UA"/>
        </w:rPr>
      </w:pPr>
    </w:p>
    <w:p w14:paraId="0E8EBDD2" w14:textId="77777777" w:rsidR="00CB2B92" w:rsidRDefault="00CB2B92" w:rsidP="00002878">
      <w:pPr>
        <w:rPr>
          <w:sz w:val="28"/>
          <w:szCs w:val="28"/>
          <w:lang w:val="uk-UA"/>
        </w:rPr>
      </w:pPr>
    </w:p>
    <w:p w14:paraId="296ABB3E" w14:textId="77777777" w:rsidR="002A0844" w:rsidRDefault="002A0844" w:rsidP="00002878">
      <w:pPr>
        <w:rPr>
          <w:sz w:val="28"/>
          <w:szCs w:val="28"/>
          <w:lang w:val="uk-UA"/>
        </w:rPr>
      </w:pPr>
    </w:p>
    <w:p w14:paraId="10AA5059" w14:textId="77777777" w:rsidR="002A0844" w:rsidRDefault="002A0844" w:rsidP="00002878">
      <w:pPr>
        <w:rPr>
          <w:sz w:val="28"/>
          <w:szCs w:val="28"/>
          <w:lang w:val="uk-UA"/>
        </w:rPr>
      </w:pPr>
    </w:p>
    <w:p w14:paraId="1B0A95D1" w14:textId="77777777" w:rsidR="001315F1" w:rsidRPr="003A170A" w:rsidRDefault="001315F1" w:rsidP="00CB2B92">
      <w:pPr>
        <w:ind w:left="7920"/>
        <w:rPr>
          <w:sz w:val="28"/>
          <w:szCs w:val="28"/>
          <w:lang w:val="uk-UA"/>
        </w:rPr>
      </w:pPr>
    </w:p>
    <w:p w14:paraId="27514B05" w14:textId="3882838A" w:rsidR="00C13513" w:rsidRPr="00C13513" w:rsidRDefault="00C13513" w:rsidP="00C1351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Pr="00C13513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74B7C672" w14:textId="77777777" w:rsidR="00C13513" w:rsidRPr="00C13513" w:rsidRDefault="00C13513" w:rsidP="00C13513">
      <w:pPr>
        <w:pStyle w:val="31"/>
        <w:ind w:left="4253"/>
        <w:jc w:val="center"/>
        <w:rPr>
          <w:bCs/>
          <w:sz w:val="24"/>
          <w:szCs w:val="24"/>
        </w:rPr>
      </w:pPr>
      <w:r w:rsidRPr="00C13513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C13513">
        <w:rPr>
          <w:bCs/>
          <w:sz w:val="24"/>
          <w:szCs w:val="24"/>
        </w:rPr>
        <w:t xml:space="preserve">до </w:t>
      </w:r>
      <w:proofErr w:type="spellStart"/>
      <w:r w:rsidRPr="00C13513">
        <w:rPr>
          <w:bCs/>
          <w:sz w:val="24"/>
          <w:szCs w:val="24"/>
        </w:rPr>
        <w:t>рішення</w:t>
      </w:r>
      <w:proofErr w:type="spellEnd"/>
      <w:r w:rsidRPr="00C13513">
        <w:rPr>
          <w:bCs/>
          <w:sz w:val="24"/>
          <w:szCs w:val="24"/>
        </w:rPr>
        <w:t xml:space="preserve">  </w:t>
      </w:r>
      <w:r w:rsidRPr="00C13513">
        <w:rPr>
          <w:bCs/>
          <w:sz w:val="24"/>
          <w:szCs w:val="24"/>
          <w:u w:val="single"/>
        </w:rPr>
        <w:t xml:space="preserve">   41    </w:t>
      </w:r>
      <w:r w:rsidRPr="00C13513">
        <w:rPr>
          <w:bCs/>
          <w:sz w:val="24"/>
          <w:szCs w:val="24"/>
        </w:rPr>
        <w:t xml:space="preserve">  </w:t>
      </w:r>
      <w:proofErr w:type="spellStart"/>
      <w:r w:rsidRPr="00C13513">
        <w:rPr>
          <w:bCs/>
          <w:sz w:val="24"/>
          <w:szCs w:val="24"/>
        </w:rPr>
        <w:t>сесії</w:t>
      </w:r>
      <w:proofErr w:type="spellEnd"/>
      <w:r w:rsidRPr="00C13513">
        <w:rPr>
          <w:bCs/>
          <w:sz w:val="24"/>
          <w:szCs w:val="24"/>
        </w:rPr>
        <w:t xml:space="preserve"> </w:t>
      </w:r>
      <w:proofErr w:type="spellStart"/>
      <w:r w:rsidRPr="00C13513">
        <w:rPr>
          <w:bCs/>
          <w:sz w:val="24"/>
          <w:szCs w:val="24"/>
        </w:rPr>
        <w:t>міської</w:t>
      </w:r>
      <w:proofErr w:type="spellEnd"/>
      <w:r w:rsidRPr="00C13513">
        <w:rPr>
          <w:bCs/>
          <w:sz w:val="24"/>
          <w:szCs w:val="24"/>
        </w:rPr>
        <w:t xml:space="preserve"> ради </w:t>
      </w:r>
      <w:r w:rsidRPr="00C13513">
        <w:rPr>
          <w:bCs/>
          <w:sz w:val="24"/>
          <w:szCs w:val="24"/>
          <w:u w:val="single"/>
        </w:rPr>
        <w:t>8</w:t>
      </w:r>
      <w:r w:rsidRPr="00C13513">
        <w:rPr>
          <w:bCs/>
          <w:sz w:val="24"/>
          <w:szCs w:val="24"/>
        </w:rPr>
        <w:t xml:space="preserve"> </w:t>
      </w:r>
      <w:proofErr w:type="spellStart"/>
      <w:r w:rsidRPr="00C13513">
        <w:rPr>
          <w:bCs/>
          <w:sz w:val="24"/>
          <w:szCs w:val="24"/>
        </w:rPr>
        <w:t>скликання</w:t>
      </w:r>
      <w:proofErr w:type="spellEnd"/>
      <w:r w:rsidRPr="00C13513">
        <w:rPr>
          <w:bCs/>
          <w:sz w:val="24"/>
          <w:szCs w:val="24"/>
        </w:rPr>
        <w:t xml:space="preserve"> </w:t>
      </w:r>
    </w:p>
    <w:p w14:paraId="4944F621" w14:textId="4892F373" w:rsidR="00C13513" w:rsidRPr="00C13513" w:rsidRDefault="00C13513" w:rsidP="00C13513">
      <w:pPr>
        <w:pStyle w:val="31"/>
        <w:ind w:left="4253"/>
        <w:jc w:val="center"/>
        <w:rPr>
          <w:bCs/>
          <w:sz w:val="24"/>
          <w:szCs w:val="24"/>
        </w:rPr>
      </w:pPr>
      <w:r w:rsidRPr="00C13513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gramStart"/>
      <w:r w:rsidRPr="00C13513">
        <w:rPr>
          <w:bCs/>
          <w:sz w:val="24"/>
          <w:szCs w:val="24"/>
        </w:rPr>
        <w:t xml:space="preserve">№ </w:t>
      </w:r>
      <w:r w:rsidRPr="00C13513">
        <w:rPr>
          <w:bCs/>
          <w:sz w:val="24"/>
          <w:szCs w:val="24"/>
          <w:u w:val="single"/>
        </w:rPr>
        <w:t xml:space="preserve"> </w:t>
      </w:r>
      <w:r w:rsidRPr="00C13513">
        <w:rPr>
          <w:bCs/>
          <w:sz w:val="24"/>
          <w:szCs w:val="24"/>
          <w:u w:val="single"/>
          <w:lang w:val="uk-UA"/>
        </w:rPr>
        <w:t>12</w:t>
      </w:r>
      <w:r>
        <w:rPr>
          <w:bCs/>
          <w:sz w:val="24"/>
          <w:szCs w:val="24"/>
          <w:u w:val="single"/>
          <w:lang w:val="uk-UA"/>
        </w:rPr>
        <w:t>31</w:t>
      </w:r>
      <w:bookmarkStart w:id="0" w:name="_GoBack"/>
      <w:bookmarkEnd w:id="0"/>
      <w:proofErr w:type="gramEnd"/>
      <w:r w:rsidRPr="00C13513">
        <w:rPr>
          <w:sz w:val="24"/>
          <w:szCs w:val="24"/>
          <w:u w:val="single"/>
        </w:rPr>
        <w:t>-</w:t>
      </w:r>
      <w:r w:rsidRPr="00C13513">
        <w:rPr>
          <w:sz w:val="24"/>
          <w:szCs w:val="24"/>
          <w:u w:val="single"/>
          <w:lang w:val="en-US"/>
        </w:rPr>
        <w:t>V</w:t>
      </w:r>
      <w:r w:rsidRPr="00C13513">
        <w:rPr>
          <w:sz w:val="24"/>
          <w:szCs w:val="24"/>
          <w:u w:val="single"/>
        </w:rPr>
        <w:t xml:space="preserve">ІІІ </w:t>
      </w:r>
      <w:proofErr w:type="spellStart"/>
      <w:r w:rsidRPr="00C13513">
        <w:rPr>
          <w:bCs/>
          <w:sz w:val="24"/>
          <w:szCs w:val="24"/>
        </w:rPr>
        <w:t>від</w:t>
      </w:r>
      <w:proofErr w:type="spellEnd"/>
      <w:r w:rsidRPr="00C13513">
        <w:rPr>
          <w:bCs/>
          <w:sz w:val="24"/>
          <w:szCs w:val="24"/>
        </w:rPr>
        <w:t xml:space="preserve"> </w:t>
      </w:r>
      <w:r w:rsidRPr="00C13513">
        <w:rPr>
          <w:bCs/>
          <w:sz w:val="24"/>
          <w:szCs w:val="24"/>
          <w:u w:val="single"/>
        </w:rPr>
        <w:t xml:space="preserve"> 18.01.2024 р</w:t>
      </w:r>
      <w:r w:rsidRPr="00C13513">
        <w:rPr>
          <w:bCs/>
          <w:sz w:val="24"/>
          <w:szCs w:val="24"/>
        </w:rPr>
        <w:t>.</w:t>
      </w:r>
    </w:p>
    <w:p w14:paraId="6DD2A161" w14:textId="77777777" w:rsidR="00CB2B92" w:rsidRPr="003A170A" w:rsidRDefault="00CB2B92" w:rsidP="00CB2B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85FEE0" w14:textId="77777777" w:rsidR="00CB2B92" w:rsidRPr="003A170A" w:rsidRDefault="00CB2B92" w:rsidP="00CB2B92">
      <w:pPr>
        <w:ind w:left="288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638FA9B8" w14:textId="77777777" w:rsidR="00CB2B92" w:rsidRPr="003A170A" w:rsidRDefault="00CB2B92" w:rsidP="00002878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про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</w:p>
    <w:p w14:paraId="64F45565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Це Положення розроблено з метою врегулювання процедури поховання та забезпечення  права на захоронення  та запобігання випадкам не поховання тіл померлих осіб:</w:t>
      </w:r>
    </w:p>
    <w:p w14:paraId="0C7CFCB4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померлих одиноких громадян;</w:t>
      </w:r>
    </w:p>
    <w:p w14:paraId="31F74648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осіб без певного місця проживання;</w:t>
      </w:r>
    </w:p>
    <w:p w14:paraId="764FF72B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громадян, від поховання яких відмовилися рідні;</w:t>
      </w:r>
    </w:p>
    <w:p w14:paraId="74CA239B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знайдених невпізнаних трупів на території Козятинської міської територіальної громади.</w:t>
      </w:r>
    </w:p>
    <w:p w14:paraId="09C4DC3C" w14:textId="14B0D1E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Поховання зазначених осіб здійснюється відповідно до повідомлення  Національної поліції України, </w:t>
      </w:r>
      <w:r w:rsidR="00BA488B">
        <w:rPr>
          <w:rFonts w:ascii="Times New Roman" w:hAnsi="Times New Roman" w:cs="Times New Roman"/>
          <w:sz w:val="28"/>
          <w:szCs w:val="28"/>
          <w:lang w:val="uk-UA"/>
        </w:rPr>
        <w:t>яке надійшло до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територіальної громади. </w:t>
      </w:r>
    </w:p>
    <w:p w14:paraId="6041A510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Поховання проводиться  за наявності:</w:t>
      </w:r>
    </w:p>
    <w:p w14:paraId="51664AA7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свідоцтва про смерть;</w:t>
      </w:r>
    </w:p>
    <w:p w14:paraId="5C4ABB76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письмового дозволу прокурора у разі наявності підстав вважати, що смерть особи має насильницький характер, після проведення судово – медичної експертизи трупа, проведеної за постановою слідчого чи прокурора;</w:t>
      </w:r>
    </w:p>
    <w:p w14:paraId="3A06930E" w14:textId="77777777" w:rsidR="00CB2B92" w:rsidRPr="003A170A" w:rsidRDefault="00CB2B92" w:rsidP="00131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- висновку правоохоронних органів у разі смерті людини за місцем її проживання без ознак насильницької смерті чи підозри на таку.</w:t>
      </w:r>
    </w:p>
    <w:p w14:paraId="46342F72" w14:textId="5B0D1296" w:rsidR="00BA488B" w:rsidRDefault="00CB2B92" w:rsidP="00BA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здійснюється на підставі </w:t>
      </w:r>
      <w:r w:rsidRPr="00BA488B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BA488B" w:rsidRPr="00BA488B">
        <w:rPr>
          <w:rFonts w:ascii="Times New Roman" w:hAnsi="Times New Roman" w:cs="Times New Roman"/>
          <w:sz w:val="28"/>
          <w:szCs w:val="28"/>
          <w:lang w:val="uk-UA"/>
        </w:rPr>
        <w:t>про поховання 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 укладеного між суб’єктом підприємницької діяльності у сфері організування поховань та управлінням соціальної політики Козятинської міської ради</w:t>
      </w:r>
      <w:r w:rsidR="00BA48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B92514" w14:textId="2A597D99" w:rsidR="00CB2B92" w:rsidRPr="003A170A" w:rsidRDefault="00CB2B92" w:rsidP="00BA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Поховання тіл померлих проводиться  відповідно до необхідного мінімального переліку вимог щодо порядку організації поховання і ритуального обслуговування населення, а саме:</w:t>
      </w:r>
    </w:p>
    <w:p w14:paraId="5FD05425" w14:textId="77777777" w:rsidR="00CB2B92" w:rsidRPr="003A170A" w:rsidRDefault="00CB2B92" w:rsidP="001315F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транспортування тіла померлого;</w:t>
      </w:r>
    </w:p>
    <w:p w14:paraId="5638EE26" w14:textId="77777777" w:rsidR="00CB2B92" w:rsidRPr="003A170A" w:rsidRDefault="00CB2B92" w:rsidP="001315F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придбання труни та надмогильного дерев’яного хреста з табличкою;</w:t>
      </w:r>
    </w:p>
    <w:p w14:paraId="6115186C" w14:textId="77777777" w:rsidR="00CB2B92" w:rsidRPr="003A170A" w:rsidRDefault="00CB2B92" w:rsidP="001315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копання могили (викопування ручним чи механізованим способом), опускання труни у могилу, закопування, формування намогильного насипу, встановлення хреста та одноразове прибирання прилеглої території після поховання.</w:t>
      </w:r>
    </w:p>
    <w:p w14:paraId="0156C14D" w14:textId="77777777" w:rsidR="00CB2B92" w:rsidRPr="003A170A" w:rsidRDefault="00CB2B92" w:rsidP="00131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Вартість зазначених ритуальних послуг на одне поховання не повинна перевищувати :</w:t>
      </w:r>
    </w:p>
    <w:p w14:paraId="7842672F" w14:textId="77777777" w:rsidR="00CB2B92" w:rsidRPr="003A170A" w:rsidRDefault="00CB2B92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 2022 році  4 000 грн. на одного померлого;</w:t>
      </w:r>
    </w:p>
    <w:p w14:paraId="267D6978" w14:textId="77777777" w:rsidR="00CB2B92" w:rsidRPr="003A170A" w:rsidRDefault="00CB2B92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2023 році  </w:t>
      </w:r>
      <w:r w:rsidR="00E4746E" w:rsidRPr="003A170A">
        <w:rPr>
          <w:rFonts w:ascii="Times New Roman" w:hAnsi="Times New Roman" w:cs="Times New Roman"/>
          <w:sz w:val="28"/>
          <w:szCs w:val="28"/>
          <w:lang w:val="uk-UA"/>
        </w:rPr>
        <w:t>5 000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грн. на одного померлого;</w:t>
      </w:r>
    </w:p>
    <w:p w14:paraId="3443D51F" w14:textId="2451EB14" w:rsidR="00CB2B92" w:rsidRPr="003A170A" w:rsidRDefault="00E4746E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2024 році  </w:t>
      </w:r>
      <w:r w:rsidR="001315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00</w:t>
      </w:r>
      <w:r w:rsidR="00CB2B92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0 грн. на одного померлого. </w:t>
      </w:r>
    </w:p>
    <w:p w14:paraId="2953C667" w14:textId="6DE114B6" w:rsidR="00CB2B92" w:rsidRPr="003A170A" w:rsidRDefault="00CB2B92" w:rsidP="00131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Суб’єкт підприємницької діяльності, з яким укладено відповідний договір,</w:t>
      </w:r>
      <w:r w:rsidR="00BA48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акт виконаних робіт управлінню соціальної політики Козятинської міської ради. </w:t>
      </w:r>
    </w:p>
    <w:p w14:paraId="0DEF237B" w14:textId="0FADD99D" w:rsidR="00CB2B92" w:rsidRPr="003A170A" w:rsidRDefault="00CB2B92" w:rsidP="00131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Управління соціальної політики Козятинської міської ради відшкодовує  суб’єкту підприємницької діяльності витрати за проведене поховання після підписання  акту виконаних робіт</w:t>
      </w:r>
      <w:r w:rsidR="00BA488B">
        <w:rPr>
          <w:rFonts w:ascii="Times New Roman" w:hAnsi="Times New Roman" w:cs="Times New Roman"/>
          <w:sz w:val="28"/>
          <w:szCs w:val="28"/>
          <w:lang w:val="uk-UA"/>
        </w:rPr>
        <w:t>, протягом 10 банківських днів.</w:t>
      </w:r>
    </w:p>
    <w:p w14:paraId="2A30D2CB" w14:textId="77777777" w:rsidR="00CB2B92" w:rsidRPr="003A170A" w:rsidRDefault="00CB2B92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13768F" w14:textId="77777777" w:rsidR="00CB2B92" w:rsidRPr="003A170A" w:rsidRDefault="00CB2B92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B82A5C" w14:textId="77777777" w:rsidR="00EA5276" w:rsidRPr="003A170A" w:rsidRDefault="00CB2B92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</w:t>
      </w:r>
    </w:p>
    <w:p w14:paraId="233DE02B" w14:textId="77777777" w:rsidR="00EA5276" w:rsidRPr="003A170A" w:rsidRDefault="00EA5276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7CD95CF" w14:textId="77777777" w:rsidR="00EA5276" w:rsidRPr="003A170A" w:rsidRDefault="00EA5276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870837" w14:textId="77777777" w:rsidR="00002878" w:rsidRPr="003A170A" w:rsidRDefault="00002878" w:rsidP="0000287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44F8E4EA" w14:textId="77777777" w:rsidR="00EA5276" w:rsidRPr="003A170A" w:rsidRDefault="00EA5276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72C020" w14:textId="77777777" w:rsidR="00EA5276" w:rsidRPr="003A170A" w:rsidRDefault="00EA5276" w:rsidP="001315F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1E9735" w14:textId="724D3477" w:rsidR="00CB2B92" w:rsidRPr="00BA488B" w:rsidRDefault="00CB2B92" w:rsidP="001315F1">
      <w:pPr>
        <w:spacing w:after="0"/>
        <w:ind w:left="7068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17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A9B7AEF" w14:textId="77777777" w:rsidR="008204B9" w:rsidRPr="00BA488B" w:rsidRDefault="008204B9" w:rsidP="001315F1">
      <w:pPr>
        <w:spacing w:after="0"/>
        <w:rPr>
          <w:sz w:val="24"/>
          <w:szCs w:val="24"/>
          <w:lang w:val="uk-UA"/>
        </w:rPr>
      </w:pPr>
    </w:p>
    <w:sectPr w:rsidR="008204B9" w:rsidRPr="00BA488B" w:rsidSect="006E764A">
      <w:footerReference w:type="even" r:id="rId9"/>
      <w:footerReference w:type="default" r:id="rId10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B117F" w14:textId="77777777" w:rsidR="00CD52C5" w:rsidRDefault="00CD52C5">
      <w:pPr>
        <w:spacing w:after="0" w:line="240" w:lineRule="auto"/>
      </w:pPr>
      <w:r>
        <w:separator/>
      </w:r>
    </w:p>
  </w:endnote>
  <w:endnote w:type="continuationSeparator" w:id="0">
    <w:p w14:paraId="0632A2D6" w14:textId="77777777" w:rsidR="00CD52C5" w:rsidRDefault="00C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7ED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1F19DF" w14:textId="77777777" w:rsidR="00914466" w:rsidRDefault="00914466" w:rsidP="006E76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81C79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746E">
      <w:rPr>
        <w:rStyle w:val="a5"/>
        <w:noProof/>
      </w:rPr>
      <w:t>8</w:t>
    </w:r>
    <w:r>
      <w:rPr>
        <w:rStyle w:val="a5"/>
      </w:rPr>
      <w:fldChar w:fldCharType="end"/>
    </w:r>
  </w:p>
  <w:p w14:paraId="28392001" w14:textId="77777777" w:rsidR="00914466" w:rsidRDefault="00914466" w:rsidP="006E76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314F1" w14:textId="77777777" w:rsidR="00CD52C5" w:rsidRDefault="00CD52C5">
      <w:pPr>
        <w:spacing w:after="0" w:line="240" w:lineRule="auto"/>
      </w:pPr>
      <w:r>
        <w:separator/>
      </w:r>
    </w:p>
  </w:footnote>
  <w:footnote w:type="continuationSeparator" w:id="0">
    <w:p w14:paraId="74F3B205" w14:textId="77777777" w:rsidR="00CD52C5" w:rsidRDefault="00C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C1DFC"/>
    <w:multiLevelType w:val="hybridMultilevel"/>
    <w:tmpl w:val="209A39E4"/>
    <w:lvl w:ilvl="0" w:tplc="78DE6092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8C45C3"/>
    <w:multiLevelType w:val="hybridMultilevel"/>
    <w:tmpl w:val="4112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02878"/>
    <w:rsid w:val="000238AB"/>
    <w:rsid w:val="00043997"/>
    <w:rsid w:val="00070130"/>
    <w:rsid w:val="00073CDC"/>
    <w:rsid w:val="00077AC7"/>
    <w:rsid w:val="000861F9"/>
    <w:rsid w:val="00094007"/>
    <w:rsid w:val="000A1179"/>
    <w:rsid w:val="000D6592"/>
    <w:rsid w:val="000E4774"/>
    <w:rsid w:val="000F6418"/>
    <w:rsid w:val="00101CBD"/>
    <w:rsid w:val="0012464D"/>
    <w:rsid w:val="001247A6"/>
    <w:rsid w:val="001315F1"/>
    <w:rsid w:val="00137F0C"/>
    <w:rsid w:val="00147A28"/>
    <w:rsid w:val="0017076E"/>
    <w:rsid w:val="00180745"/>
    <w:rsid w:val="00187BD2"/>
    <w:rsid w:val="0019474B"/>
    <w:rsid w:val="00197AC1"/>
    <w:rsid w:val="001A0A18"/>
    <w:rsid w:val="001A0B6C"/>
    <w:rsid w:val="001A3865"/>
    <w:rsid w:val="00217957"/>
    <w:rsid w:val="00237F11"/>
    <w:rsid w:val="00240C2E"/>
    <w:rsid w:val="00245F93"/>
    <w:rsid w:val="00246BDD"/>
    <w:rsid w:val="00251F1C"/>
    <w:rsid w:val="00257B11"/>
    <w:rsid w:val="002667C4"/>
    <w:rsid w:val="00275321"/>
    <w:rsid w:val="002903BF"/>
    <w:rsid w:val="002913AC"/>
    <w:rsid w:val="0029514D"/>
    <w:rsid w:val="002956AB"/>
    <w:rsid w:val="00297F78"/>
    <w:rsid w:val="002A0844"/>
    <w:rsid w:val="002B6B4F"/>
    <w:rsid w:val="002C0AB5"/>
    <w:rsid w:val="002C48BE"/>
    <w:rsid w:val="002C51AF"/>
    <w:rsid w:val="002D0A23"/>
    <w:rsid w:val="002D210F"/>
    <w:rsid w:val="002F1EC8"/>
    <w:rsid w:val="002F2898"/>
    <w:rsid w:val="00316C0F"/>
    <w:rsid w:val="00327FCC"/>
    <w:rsid w:val="00337DA3"/>
    <w:rsid w:val="00362520"/>
    <w:rsid w:val="00372310"/>
    <w:rsid w:val="00387EED"/>
    <w:rsid w:val="003A170A"/>
    <w:rsid w:val="003A77D4"/>
    <w:rsid w:val="003B3B2D"/>
    <w:rsid w:val="003C5672"/>
    <w:rsid w:val="003C5C3A"/>
    <w:rsid w:val="003C711C"/>
    <w:rsid w:val="003C7A63"/>
    <w:rsid w:val="003E15B4"/>
    <w:rsid w:val="003E17E1"/>
    <w:rsid w:val="00400918"/>
    <w:rsid w:val="0040489A"/>
    <w:rsid w:val="00414BB6"/>
    <w:rsid w:val="00450331"/>
    <w:rsid w:val="00451E69"/>
    <w:rsid w:val="0045362F"/>
    <w:rsid w:val="00475021"/>
    <w:rsid w:val="004815C5"/>
    <w:rsid w:val="004B3E9D"/>
    <w:rsid w:val="004E7BB7"/>
    <w:rsid w:val="00503066"/>
    <w:rsid w:val="00533D3B"/>
    <w:rsid w:val="00545692"/>
    <w:rsid w:val="00567B9F"/>
    <w:rsid w:val="00575EA9"/>
    <w:rsid w:val="005902ED"/>
    <w:rsid w:val="005906A4"/>
    <w:rsid w:val="005C0D58"/>
    <w:rsid w:val="005C6681"/>
    <w:rsid w:val="005E304E"/>
    <w:rsid w:val="005F4F72"/>
    <w:rsid w:val="006055A7"/>
    <w:rsid w:val="00606043"/>
    <w:rsid w:val="00624C78"/>
    <w:rsid w:val="00625D41"/>
    <w:rsid w:val="00636369"/>
    <w:rsid w:val="006412A8"/>
    <w:rsid w:val="00677868"/>
    <w:rsid w:val="00681572"/>
    <w:rsid w:val="00685B0F"/>
    <w:rsid w:val="00687B2D"/>
    <w:rsid w:val="0069531E"/>
    <w:rsid w:val="0069621F"/>
    <w:rsid w:val="006B46DB"/>
    <w:rsid w:val="006B526F"/>
    <w:rsid w:val="006C1DD2"/>
    <w:rsid w:val="006D2E06"/>
    <w:rsid w:val="006E35E1"/>
    <w:rsid w:val="006E764A"/>
    <w:rsid w:val="0070676E"/>
    <w:rsid w:val="00721C71"/>
    <w:rsid w:val="00721F9F"/>
    <w:rsid w:val="00733D8D"/>
    <w:rsid w:val="00735A4B"/>
    <w:rsid w:val="00745BD0"/>
    <w:rsid w:val="00747F75"/>
    <w:rsid w:val="007602A7"/>
    <w:rsid w:val="00761085"/>
    <w:rsid w:val="0076696D"/>
    <w:rsid w:val="00770962"/>
    <w:rsid w:val="007770C2"/>
    <w:rsid w:val="007836AC"/>
    <w:rsid w:val="00787E7A"/>
    <w:rsid w:val="00790A56"/>
    <w:rsid w:val="007B60AB"/>
    <w:rsid w:val="007B7ECC"/>
    <w:rsid w:val="007C1F29"/>
    <w:rsid w:val="007D0A99"/>
    <w:rsid w:val="007D1BDA"/>
    <w:rsid w:val="007F6609"/>
    <w:rsid w:val="00803CBC"/>
    <w:rsid w:val="008148B4"/>
    <w:rsid w:val="008204B9"/>
    <w:rsid w:val="00826EB8"/>
    <w:rsid w:val="00831768"/>
    <w:rsid w:val="00857CB7"/>
    <w:rsid w:val="00862353"/>
    <w:rsid w:val="00885B6B"/>
    <w:rsid w:val="00890F58"/>
    <w:rsid w:val="008C6A50"/>
    <w:rsid w:val="008E0A17"/>
    <w:rsid w:val="008E7C1F"/>
    <w:rsid w:val="009016F9"/>
    <w:rsid w:val="00905E40"/>
    <w:rsid w:val="00914466"/>
    <w:rsid w:val="009270C4"/>
    <w:rsid w:val="00940C5A"/>
    <w:rsid w:val="00972DF4"/>
    <w:rsid w:val="00985014"/>
    <w:rsid w:val="0099034F"/>
    <w:rsid w:val="009A5670"/>
    <w:rsid w:val="009B5FF3"/>
    <w:rsid w:val="009C2F2B"/>
    <w:rsid w:val="009C6A8D"/>
    <w:rsid w:val="009D1470"/>
    <w:rsid w:val="009E204A"/>
    <w:rsid w:val="009F4FA4"/>
    <w:rsid w:val="009F652D"/>
    <w:rsid w:val="00A13FF0"/>
    <w:rsid w:val="00A2113C"/>
    <w:rsid w:val="00A65ABF"/>
    <w:rsid w:val="00A91FDF"/>
    <w:rsid w:val="00A94ECD"/>
    <w:rsid w:val="00AA16C4"/>
    <w:rsid w:val="00AB63D2"/>
    <w:rsid w:val="00AC4700"/>
    <w:rsid w:val="00AC6183"/>
    <w:rsid w:val="00AD58C0"/>
    <w:rsid w:val="00AE1750"/>
    <w:rsid w:val="00AF2610"/>
    <w:rsid w:val="00B0068C"/>
    <w:rsid w:val="00B12358"/>
    <w:rsid w:val="00B44513"/>
    <w:rsid w:val="00B70425"/>
    <w:rsid w:val="00B77868"/>
    <w:rsid w:val="00B83A0A"/>
    <w:rsid w:val="00B932C2"/>
    <w:rsid w:val="00BA488B"/>
    <w:rsid w:val="00BF5379"/>
    <w:rsid w:val="00C073E0"/>
    <w:rsid w:val="00C13513"/>
    <w:rsid w:val="00C3101A"/>
    <w:rsid w:val="00C4674A"/>
    <w:rsid w:val="00C87F14"/>
    <w:rsid w:val="00CB2B92"/>
    <w:rsid w:val="00CB6D87"/>
    <w:rsid w:val="00CC1473"/>
    <w:rsid w:val="00CC5CAE"/>
    <w:rsid w:val="00CD52C5"/>
    <w:rsid w:val="00CD6A37"/>
    <w:rsid w:val="00CE5519"/>
    <w:rsid w:val="00CF06D5"/>
    <w:rsid w:val="00CF4C73"/>
    <w:rsid w:val="00D15E52"/>
    <w:rsid w:val="00D20BB6"/>
    <w:rsid w:val="00D23826"/>
    <w:rsid w:val="00D37E6E"/>
    <w:rsid w:val="00D424B1"/>
    <w:rsid w:val="00D528CF"/>
    <w:rsid w:val="00D802F2"/>
    <w:rsid w:val="00DA6351"/>
    <w:rsid w:val="00DB2198"/>
    <w:rsid w:val="00DC0973"/>
    <w:rsid w:val="00DD3535"/>
    <w:rsid w:val="00DE680C"/>
    <w:rsid w:val="00DF602B"/>
    <w:rsid w:val="00E0225A"/>
    <w:rsid w:val="00E41DD5"/>
    <w:rsid w:val="00E4746E"/>
    <w:rsid w:val="00E706F6"/>
    <w:rsid w:val="00E8369C"/>
    <w:rsid w:val="00EA451E"/>
    <w:rsid w:val="00EA5276"/>
    <w:rsid w:val="00EC1F25"/>
    <w:rsid w:val="00EC66F9"/>
    <w:rsid w:val="00EC786A"/>
    <w:rsid w:val="00EE0137"/>
    <w:rsid w:val="00F126CC"/>
    <w:rsid w:val="00F14C55"/>
    <w:rsid w:val="00F16744"/>
    <w:rsid w:val="00F17D0E"/>
    <w:rsid w:val="00F4098F"/>
    <w:rsid w:val="00F43527"/>
    <w:rsid w:val="00F5125B"/>
    <w:rsid w:val="00F83F0E"/>
    <w:rsid w:val="00FA4D1B"/>
    <w:rsid w:val="00FB238A"/>
    <w:rsid w:val="00FC04DD"/>
    <w:rsid w:val="00FC33B9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05C"/>
  <w15:docId w15:val="{B3477695-5487-4A25-A76D-85AB6441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paragraph" w:styleId="1">
    <w:name w:val="heading 1"/>
    <w:basedOn w:val="a"/>
    <w:next w:val="a"/>
    <w:link w:val="10"/>
    <w:qFormat/>
    <w:rsid w:val="00CB2B9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C1F25"/>
    <w:rPr>
      <w:b/>
      <w:bCs/>
    </w:rPr>
  </w:style>
  <w:style w:type="character" w:customStyle="1" w:styleId="10">
    <w:name w:val="Заголовок 1 Знак"/>
    <w:basedOn w:val="a0"/>
    <w:link w:val="1"/>
    <w:rsid w:val="00CB2B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CB2B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CB2B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CB2B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B2B9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Title"/>
    <w:basedOn w:val="a"/>
    <w:link w:val="ac"/>
    <w:qFormat/>
    <w:rsid w:val="00CB2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c">
    <w:name w:val="Заголовок Знак"/>
    <w:basedOn w:val="a0"/>
    <w:link w:val="ab"/>
    <w:rsid w:val="00CB2B9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31">
    <w:name w:val="Body Text 3"/>
    <w:basedOn w:val="a"/>
    <w:link w:val="32"/>
    <w:rsid w:val="00C135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351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6966-0B12-4F85-AD7A-8BE119AA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Larisa</cp:lastModifiedBy>
  <cp:revision>2</cp:revision>
  <cp:lastPrinted>2023-12-12T10:13:00Z</cp:lastPrinted>
  <dcterms:created xsi:type="dcterms:W3CDTF">2024-01-22T10:41:00Z</dcterms:created>
  <dcterms:modified xsi:type="dcterms:W3CDTF">2024-01-22T10:41:00Z</dcterms:modified>
</cp:coreProperties>
</file>