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F3DD" w14:textId="3828F636" w:rsidR="003C11D0" w:rsidRPr="005126D4" w:rsidRDefault="003C11D0" w:rsidP="003C11D0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C9C706" wp14:editId="58FE8B0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46C5873" w14:textId="77777777" w:rsidR="003C11D0" w:rsidRPr="00FD05E4" w:rsidRDefault="003C11D0" w:rsidP="003C11D0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3B8A1496" w14:textId="77777777" w:rsidR="003C11D0" w:rsidRPr="00FD05E4" w:rsidRDefault="003C11D0" w:rsidP="003C11D0">
      <w:pPr>
        <w:pStyle w:val="a9"/>
        <w:spacing w:before="10"/>
        <w:rPr>
          <w:b/>
          <w:sz w:val="27"/>
        </w:rPr>
      </w:pPr>
    </w:p>
    <w:p w14:paraId="3B448C0B" w14:textId="77777777" w:rsidR="003C11D0" w:rsidRPr="00FD05E4" w:rsidRDefault="003C11D0" w:rsidP="003C11D0">
      <w:pPr>
        <w:ind w:left="391" w:right="613"/>
        <w:jc w:val="center"/>
        <w:rPr>
          <w:b/>
          <w:sz w:val="28"/>
        </w:rPr>
      </w:pPr>
      <w:r w:rsidRPr="00FD05E4">
        <w:rPr>
          <w:b/>
          <w:sz w:val="28"/>
        </w:rPr>
        <w:t xml:space="preserve">Р І Ш Е Н </w:t>
      </w:r>
      <w:proofErr w:type="spellStart"/>
      <w:r w:rsidRPr="00FD05E4">
        <w:rPr>
          <w:b/>
          <w:sz w:val="28"/>
        </w:rPr>
        <w:t>Н</w:t>
      </w:r>
      <w:proofErr w:type="spellEnd"/>
      <w:r w:rsidRPr="00FD05E4">
        <w:rPr>
          <w:b/>
          <w:sz w:val="28"/>
        </w:rPr>
        <w:t xml:space="preserve"> Я</w:t>
      </w:r>
    </w:p>
    <w:p w14:paraId="4FBD5BC2" w14:textId="01C2FCFB" w:rsidR="003C11D0" w:rsidRPr="00FD05E4" w:rsidRDefault="003C11D0" w:rsidP="003C11D0">
      <w:pPr>
        <w:tabs>
          <w:tab w:val="left" w:pos="2611"/>
          <w:tab w:val="left" w:pos="4363"/>
        </w:tabs>
        <w:spacing w:before="1"/>
        <w:rPr>
          <w:bCs/>
          <w:sz w:val="28"/>
          <w:szCs w:val="28"/>
        </w:rPr>
      </w:pPr>
      <w:r w:rsidRPr="00FD05E4">
        <w:rPr>
          <w:sz w:val="28"/>
          <w:u w:val="single"/>
        </w:rPr>
        <w:t xml:space="preserve">17.02.2023 року </w:t>
      </w:r>
      <w:r w:rsidRPr="00FD05E4">
        <w:rPr>
          <w:spacing w:val="-1"/>
          <w:sz w:val="28"/>
        </w:rPr>
        <w:t xml:space="preserve"> </w:t>
      </w:r>
      <w:r w:rsidRPr="00FD05E4">
        <w:rPr>
          <w:sz w:val="28"/>
        </w:rPr>
        <w:t xml:space="preserve">№ </w:t>
      </w:r>
      <w:r w:rsidRPr="00FD05E4">
        <w:rPr>
          <w:sz w:val="28"/>
          <w:u w:val="single"/>
        </w:rPr>
        <w:t xml:space="preserve"> 10</w:t>
      </w:r>
      <w:r>
        <w:rPr>
          <w:sz w:val="28"/>
          <w:u w:val="single"/>
        </w:rPr>
        <w:t>60</w:t>
      </w:r>
      <w:r w:rsidRPr="00FD05E4">
        <w:rPr>
          <w:sz w:val="28"/>
          <w:u w:val="single"/>
        </w:rPr>
        <w:t xml:space="preserve"> -</w:t>
      </w:r>
      <w:r w:rsidRPr="00FD05E4">
        <w:rPr>
          <w:sz w:val="28"/>
          <w:u w:val="single"/>
          <w:lang w:val="en-US"/>
        </w:rPr>
        <w:t>V</w:t>
      </w:r>
      <w:r w:rsidRPr="00FD05E4">
        <w:rPr>
          <w:sz w:val="28"/>
          <w:u w:val="single"/>
        </w:rPr>
        <w:t>ІІІ</w:t>
      </w:r>
      <w:r w:rsidRPr="00FD05E4">
        <w:rPr>
          <w:sz w:val="28"/>
        </w:rPr>
        <w:tab/>
        <w:t xml:space="preserve">                                  </w:t>
      </w:r>
      <w:r w:rsidRPr="00FD05E4">
        <w:rPr>
          <w:sz w:val="28"/>
          <w:u w:val="single"/>
        </w:rPr>
        <w:t>32</w:t>
      </w:r>
      <w:r w:rsidRPr="00FD05E4">
        <w:rPr>
          <w:color w:val="FF0000"/>
          <w:sz w:val="28"/>
        </w:rPr>
        <w:t xml:space="preserve"> </w:t>
      </w:r>
      <w:r w:rsidRPr="00FD05E4">
        <w:rPr>
          <w:bCs/>
          <w:sz w:val="28"/>
          <w:szCs w:val="28"/>
        </w:rPr>
        <w:t xml:space="preserve">сесія </w:t>
      </w:r>
      <w:r w:rsidRPr="00FD05E4">
        <w:rPr>
          <w:bCs/>
          <w:sz w:val="28"/>
          <w:szCs w:val="28"/>
          <w:u w:val="single"/>
        </w:rPr>
        <w:t>8</w:t>
      </w:r>
      <w:r w:rsidRPr="00FD05E4">
        <w:rPr>
          <w:bCs/>
          <w:sz w:val="28"/>
          <w:szCs w:val="28"/>
        </w:rPr>
        <w:t xml:space="preserve"> скликання</w:t>
      </w:r>
    </w:p>
    <w:p w14:paraId="1610BCF6" w14:textId="77777777" w:rsidR="0064510B" w:rsidRPr="00A75278" w:rsidRDefault="0064510B" w:rsidP="006451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394AC1" w14:textId="77777777" w:rsidR="0064510B" w:rsidRPr="00A75278" w:rsidRDefault="0064510B" w:rsidP="0064510B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8F5ACD2" w14:textId="77777777" w:rsidR="0064510B" w:rsidRPr="003C11D0" w:rsidRDefault="0064510B" w:rsidP="0064510B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3C11D0">
        <w:rPr>
          <w:rFonts w:ascii="Times New Roman" w:hAnsi="Times New Roman"/>
          <w:bCs/>
          <w:sz w:val="28"/>
          <w:szCs w:val="28"/>
        </w:rPr>
        <w:t xml:space="preserve">Про хід виконання завдань  Комплексної оборонно-правоохоронної програми Козятинської міської територіальної громади на 2021-2025 </w:t>
      </w:r>
      <w:r w:rsidR="009F2825" w:rsidRPr="003C11D0">
        <w:rPr>
          <w:rFonts w:ascii="Times New Roman" w:hAnsi="Times New Roman"/>
          <w:bCs/>
          <w:sz w:val="28"/>
          <w:szCs w:val="28"/>
        </w:rPr>
        <w:t>роки</w:t>
      </w:r>
    </w:p>
    <w:p w14:paraId="63F3E4E8" w14:textId="77777777" w:rsidR="0064510B" w:rsidRPr="003C11D0" w:rsidRDefault="00E00E2C" w:rsidP="0064510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11D0">
        <w:rPr>
          <w:rFonts w:ascii="Times New Roman" w:hAnsi="Times New Roman" w:cs="Times New Roman"/>
          <w:bCs/>
          <w:sz w:val="28"/>
          <w:szCs w:val="28"/>
        </w:rPr>
        <w:t>у 2022 році</w:t>
      </w:r>
      <w:r w:rsidR="0064510B" w:rsidRPr="003C11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EA17259" w14:textId="77777777" w:rsidR="0064510B" w:rsidRPr="0064510B" w:rsidRDefault="0064510B" w:rsidP="006451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C808C" w14:textId="77777777" w:rsidR="00335CCE" w:rsidRDefault="0064510B" w:rsidP="00335CCE">
      <w:pPr>
        <w:pStyle w:val="a5"/>
        <w:tabs>
          <w:tab w:val="center" w:pos="9654"/>
          <w:tab w:val="left" w:pos="15315"/>
        </w:tabs>
        <w:ind w:right="-2" w:firstLine="709"/>
        <w:rPr>
          <w:bCs/>
          <w:szCs w:val="28"/>
        </w:rPr>
      </w:pPr>
      <w:r w:rsidRPr="0064510B">
        <w:rPr>
          <w:b/>
          <w:szCs w:val="28"/>
        </w:rPr>
        <w:tab/>
      </w:r>
      <w:r w:rsidRPr="0064510B">
        <w:rPr>
          <w:szCs w:val="28"/>
        </w:rPr>
        <w:t>Ро</w:t>
      </w:r>
      <w:r>
        <w:rPr>
          <w:szCs w:val="28"/>
        </w:rPr>
        <w:t xml:space="preserve">зглянувши інформацію начальника </w:t>
      </w:r>
      <w:r w:rsidRPr="0064510B">
        <w:rPr>
          <w:szCs w:val="28"/>
        </w:rPr>
        <w:t>в</w:t>
      </w:r>
      <w:r w:rsidRPr="0064510B">
        <w:rPr>
          <w:bCs/>
          <w:szCs w:val="28"/>
        </w:rPr>
        <w:t xml:space="preserve">ідділення поліції № 2 Хмільницького РВП  ГУНП у Вінницькій області </w:t>
      </w:r>
      <w:r w:rsidR="00335CCE">
        <w:rPr>
          <w:bCs/>
          <w:szCs w:val="28"/>
        </w:rPr>
        <w:t xml:space="preserve">про результати </w:t>
      </w:r>
      <w:r w:rsidRPr="0064510B">
        <w:rPr>
          <w:bCs/>
          <w:szCs w:val="28"/>
        </w:rPr>
        <w:t xml:space="preserve">службової діяльності ВП № 2 Хмільницького РВП </w:t>
      </w:r>
      <w:r w:rsidR="00335CCE">
        <w:rPr>
          <w:bCs/>
          <w:szCs w:val="28"/>
        </w:rPr>
        <w:t>протягом 12 місяців  2022 року</w:t>
      </w:r>
      <w:r w:rsidRPr="0064510B">
        <w:rPr>
          <w:bCs/>
          <w:szCs w:val="28"/>
        </w:rPr>
        <w:t xml:space="preserve"> з протидії злочинності та забезпечення публічної безпеки і порядку, міська рада зазначає, що правоохоронними органами проведено комплекс заходів, спрямованих на забезпечення Конституційних прав і законних інтересів громадян, протидії організованій злочинності і корупції, зменшенню злочинного впливу на молодіжне середовище, запобіганню поширення наркоманії, пияцтва та алкоголізму, протидію рецидивній злочинності, забезпеченню публічної безпеки та порядку і безпеки дорожнього руху, удосконаленню оперативно-розшукової діяльності, покращенню взаємодії з органами місцевого самоврядування та громадськістю. </w:t>
      </w:r>
      <w:r w:rsidR="00335CCE" w:rsidRPr="00335CCE">
        <w:rPr>
          <w:bCs/>
          <w:szCs w:val="28"/>
        </w:rPr>
        <w:t xml:space="preserve">За всіма пунктами Комплексної оборонно-правоохоронної програми </w:t>
      </w:r>
      <w:r w:rsidR="004E6D73">
        <w:rPr>
          <w:bCs/>
          <w:szCs w:val="28"/>
        </w:rPr>
        <w:t xml:space="preserve"> (далі – Програма) </w:t>
      </w:r>
      <w:r w:rsidR="00335CCE" w:rsidRPr="00335CCE">
        <w:rPr>
          <w:bCs/>
          <w:szCs w:val="28"/>
        </w:rPr>
        <w:t>здійснюються організаційні та пр</w:t>
      </w:r>
      <w:r w:rsidR="00335CCE">
        <w:rPr>
          <w:bCs/>
          <w:szCs w:val="28"/>
        </w:rPr>
        <w:t>актичні заходи з їх реалізації.</w:t>
      </w:r>
    </w:p>
    <w:p w14:paraId="1ECC47E3" w14:textId="77777777" w:rsidR="00335CCE" w:rsidRPr="00533C2F" w:rsidRDefault="00335CCE" w:rsidP="00335CCE">
      <w:pPr>
        <w:pStyle w:val="a5"/>
        <w:tabs>
          <w:tab w:val="center" w:pos="9654"/>
          <w:tab w:val="left" w:pos="15315"/>
        </w:tabs>
        <w:ind w:right="-2" w:firstLine="709"/>
        <w:rPr>
          <w:bCs/>
          <w:color w:val="C00000"/>
          <w:szCs w:val="28"/>
        </w:rPr>
      </w:pPr>
      <w:r>
        <w:rPr>
          <w:bCs/>
          <w:szCs w:val="28"/>
        </w:rPr>
        <w:t xml:space="preserve">Протягом звітного періоду 2022 року </w:t>
      </w:r>
      <w:r>
        <w:rPr>
          <w:szCs w:val="28"/>
        </w:rPr>
        <w:t>в</w:t>
      </w:r>
      <w:r>
        <w:rPr>
          <w:bCs/>
          <w:szCs w:val="28"/>
        </w:rPr>
        <w:t>ідділенням поліції №</w:t>
      </w:r>
      <w:r>
        <w:rPr>
          <w:bCs/>
          <w:szCs w:val="28"/>
          <w:lang w:val="ru-RU"/>
        </w:rPr>
        <w:t> </w:t>
      </w:r>
      <w:r>
        <w:rPr>
          <w:bCs/>
          <w:szCs w:val="28"/>
        </w:rPr>
        <w:t xml:space="preserve">2 </w:t>
      </w:r>
      <w:r w:rsidRPr="00533C2F">
        <w:rPr>
          <w:bCs/>
          <w:szCs w:val="28"/>
        </w:rPr>
        <w:t>Хмільницького РВП  ГУНП у Вінницькій області в журналі єдиного обліку зареєстровано – 6876 заяв та повідомлень про кримінальні правопорушення та інші події, до ЄРДР зареєстровано –  768, без врахування закритих – 447.</w:t>
      </w:r>
    </w:p>
    <w:p w14:paraId="1DEE9ED1" w14:textId="77777777" w:rsidR="00335CCE" w:rsidRPr="00533C2F" w:rsidRDefault="00335CCE" w:rsidP="00335CCE">
      <w:pPr>
        <w:pStyle w:val="a5"/>
        <w:tabs>
          <w:tab w:val="center" w:pos="9654"/>
          <w:tab w:val="left" w:pos="15315"/>
        </w:tabs>
        <w:ind w:firstLine="709"/>
        <w:rPr>
          <w:bCs/>
          <w:szCs w:val="28"/>
        </w:rPr>
      </w:pPr>
      <w:r w:rsidRPr="00533C2F">
        <w:rPr>
          <w:bCs/>
          <w:szCs w:val="28"/>
        </w:rPr>
        <w:t>По 322</w:t>
      </w:r>
      <w:r w:rsidRPr="00533C2F">
        <w:rPr>
          <w:bCs/>
          <w:szCs w:val="28"/>
          <w:lang w:val="ru-RU"/>
        </w:rPr>
        <w:t xml:space="preserve"> </w:t>
      </w:r>
      <w:r w:rsidRPr="00533C2F">
        <w:rPr>
          <w:bCs/>
          <w:szCs w:val="28"/>
        </w:rPr>
        <w:t>кримінальних провадженнях</w:t>
      </w:r>
      <w:r w:rsidRPr="00533C2F">
        <w:rPr>
          <w:bCs/>
          <w:szCs w:val="28"/>
          <w:lang w:val="ru-RU"/>
        </w:rPr>
        <w:t xml:space="preserve"> </w:t>
      </w:r>
      <w:r w:rsidRPr="00533C2F">
        <w:rPr>
          <w:bCs/>
          <w:szCs w:val="28"/>
        </w:rPr>
        <w:t>особам повідомлено про підозру, 311</w:t>
      </w:r>
      <w:r w:rsidRPr="00533C2F">
        <w:rPr>
          <w:bCs/>
          <w:szCs w:val="28"/>
          <w:lang w:val="ru-RU"/>
        </w:rPr>
        <w:t xml:space="preserve"> </w:t>
      </w:r>
      <w:r w:rsidRPr="00533C2F">
        <w:rPr>
          <w:bCs/>
          <w:szCs w:val="28"/>
        </w:rPr>
        <w:t xml:space="preserve">з яких зареєстровано у 2022 році, що становить </w:t>
      </w:r>
      <w:r w:rsidRPr="00533C2F">
        <w:rPr>
          <w:bCs/>
          <w:szCs w:val="28"/>
          <w:lang w:val="ru-RU"/>
        </w:rPr>
        <w:t>69,6 </w:t>
      </w:r>
      <w:r w:rsidRPr="00533C2F">
        <w:rPr>
          <w:bCs/>
          <w:szCs w:val="28"/>
        </w:rPr>
        <w:t xml:space="preserve">%, по області </w:t>
      </w:r>
      <w:r w:rsidRPr="00533C2F">
        <w:rPr>
          <w:bCs/>
          <w:color w:val="000000" w:themeColor="text1"/>
          <w:szCs w:val="28"/>
        </w:rPr>
        <w:t xml:space="preserve">– </w:t>
      </w:r>
      <w:r w:rsidRPr="00533C2F">
        <w:rPr>
          <w:bCs/>
          <w:color w:val="000000" w:themeColor="text1"/>
          <w:szCs w:val="28"/>
          <w:lang w:val="ru-RU"/>
        </w:rPr>
        <w:t>59</w:t>
      </w:r>
      <w:r w:rsidRPr="00533C2F">
        <w:rPr>
          <w:bCs/>
          <w:color w:val="000000" w:themeColor="text1"/>
          <w:szCs w:val="28"/>
        </w:rPr>
        <w:t>,</w:t>
      </w:r>
      <w:r w:rsidRPr="00533C2F">
        <w:rPr>
          <w:bCs/>
          <w:color w:val="000000" w:themeColor="text1"/>
          <w:szCs w:val="28"/>
          <w:lang w:val="ru-RU"/>
        </w:rPr>
        <w:t>2</w:t>
      </w:r>
      <w:r w:rsidRPr="00533C2F">
        <w:rPr>
          <w:bCs/>
          <w:szCs w:val="28"/>
        </w:rPr>
        <w:t>%.</w:t>
      </w:r>
    </w:p>
    <w:p w14:paraId="664F791D" w14:textId="77777777" w:rsidR="00335CCE" w:rsidRDefault="00335CCE" w:rsidP="00335CCE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Характеризуючи стан криміногенної обстановки на території обслуговування протягом 2022 року за видами кримінальних правопорушень та злочинів, способом та інтенсивністю їх скоєння, об’єктом посягання й результатів роботи працівників відділення поліції щодо їх розкриття не враховуючи закритих кримінальних проваджень, маємо наступний порівняльний аналіз:</w:t>
      </w:r>
    </w:p>
    <w:p w14:paraId="11E6286D" w14:textId="77777777" w:rsidR="00335CCE" w:rsidRDefault="00335CCE" w:rsidP="00335CCE">
      <w:pPr>
        <w:ind w:right="-2" w:firstLine="709"/>
        <w:jc w:val="both"/>
        <w:rPr>
          <w:b/>
          <w:bCs/>
          <w:sz w:val="28"/>
          <w:szCs w:val="28"/>
        </w:rPr>
      </w:pPr>
    </w:p>
    <w:p w14:paraId="45A99DBC" w14:textId="77777777" w:rsidR="00335CCE" w:rsidRPr="00533C2F" w:rsidRDefault="00335CCE" w:rsidP="00533C2F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 на території обслуговування скоєно 12 особливо тяжких злочинів, розкрито - 7, що становить 58,3 %, по області  29,7 %;</w:t>
      </w:r>
    </w:p>
    <w:p w14:paraId="171521B9" w14:textId="77777777" w:rsidR="00335CCE" w:rsidRPr="00533C2F" w:rsidRDefault="00335CCE" w:rsidP="00533C2F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 xml:space="preserve">- скоєно 201 тяжке кримінальне правопорушення, 157 особам повідомлено про підозру, що становить 78,1 %, по області 56,7 %.  </w:t>
      </w:r>
    </w:p>
    <w:p w14:paraId="20BB6351" w14:textId="77777777" w:rsidR="00335CCE" w:rsidRPr="00533C2F" w:rsidRDefault="00335CCE" w:rsidP="00335CCE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lastRenderedPageBreak/>
        <w:t>- тяжкі тілесні ушкодження - 3, розкрито - 3, питома вага 100 %, по області 97,2 %;</w:t>
      </w:r>
    </w:p>
    <w:p w14:paraId="4FDDDB3D" w14:textId="77777777" w:rsidR="00335CCE" w:rsidRPr="00533C2F" w:rsidRDefault="00335CCE" w:rsidP="00335CCE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3 факти зґвалтування , розкрито-3, питома вага 100,0 %, по області 93,8 %;</w:t>
      </w:r>
    </w:p>
    <w:p w14:paraId="0D309193" w14:textId="77777777" w:rsidR="00335CCE" w:rsidRPr="00533C2F" w:rsidRDefault="00335CCE" w:rsidP="00335CCE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2 факти розбою , розкрито - 2, питома вага  100%,по  області 92,9%.</w:t>
      </w:r>
    </w:p>
    <w:p w14:paraId="1B4D62C9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скоєно 5 пограбувань, розкрито - 5, питома вага 100 %, по області 96,2 %;</w:t>
      </w:r>
    </w:p>
    <w:p w14:paraId="02D37D35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скоєно   139 крадіжок, вжитими заходами працівників відділення поліції по 119 фактах за вчинення даної категорії кримінальних правопорушень  особам повідомлено про підозру, питома вага 85,6 % по області 68,2 %</w:t>
      </w:r>
    </w:p>
    <w:p w14:paraId="067718F9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у тому числі скоєно 130 крадіжок відносно приватної власності, вжито заходів щодо встановлення осіб, які вчинили злочини даної категорії, по 110 фактах повідомлено про підозру, що становить 84,6 %, по області розкриття становить 68,1 %;</w:t>
      </w:r>
    </w:p>
    <w:p w14:paraId="2205BD36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30 крадіжок відносно приватної власності у тому числі з квартир, приватних будинків, дач. Вжитими заходами по 22 фактах повідомлено про підозру, що становить 73,3 %, по області 72,1 %.</w:t>
      </w:r>
    </w:p>
    <w:p w14:paraId="5138864A" w14:textId="77777777" w:rsidR="00335CCE" w:rsidRPr="00533C2F" w:rsidRDefault="00335CCE" w:rsidP="00533C2F">
      <w:pPr>
        <w:pStyle w:val="a4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533C2F">
        <w:rPr>
          <w:bCs/>
          <w:sz w:val="28"/>
          <w:szCs w:val="28"/>
          <w:lang w:val="uk-UA"/>
        </w:rPr>
        <w:t>не зважаючи на вжиття додаткових профілактичних заходів, інформування населення через засоби масової інформації, спостерігається тенденція до вчинення категорії таких злочинів, як шахрайство - 54, з яких по 2 особа встановлена, що становить 3,7 %, по області 33,4 %</w:t>
      </w:r>
    </w:p>
    <w:p w14:paraId="0084B2FE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3 факти  зайняття земельної ділянки, 1 особі повідомлено про  підозру , що становить 33,3 %, по області 4,5 %.</w:t>
      </w:r>
    </w:p>
    <w:p w14:paraId="7DD37DDB" w14:textId="77777777" w:rsidR="00335CCE" w:rsidRPr="00533C2F" w:rsidRDefault="00335CCE" w:rsidP="00335CCE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 6 фактів службових злочинів, розкрито -3, питома вага 50,0 %, по області 55,7 %.</w:t>
      </w:r>
    </w:p>
    <w:p w14:paraId="3590349E" w14:textId="77777777" w:rsidR="00335CCE" w:rsidRPr="00533C2F" w:rsidRDefault="00335CCE" w:rsidP="00533C2F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в тому числі 2 факти службового злочину (хабарництво), розкрито -2, питома вага 100,0 %, по області 77,6 %.</w:t>
      </w:r>
    </w:p>
    <w:p w14:paraId="783F72BA" w14:textId="77777777" w:rsidR="00335CCE" w:rsidRDefault="00335CCE" w:rsidP="00533C2F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виявлено 110 фактів незаконного обігу наркотиків, по 100 фактах особам повідомлено про підозру, питома вага 90,9 %, по області 81,9 %.</w:t>
      </w:r>
    </w:p>
    <w:p w14:paraId="352147E7" w14:textId="77777777" w:rsidR="00335CCE" w:rsidRPr="00533C2F" w:rsidRDefault="00335CCE" w:rsidP="00533C2F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в тому числі 16 фактів незаконного збуту наркотичних засобів, з них 14 особам повідомлено про підозру , питома вага 87,5 %, по області 78,1 %.</w:t>
      </w:r>
    </w:p>
    <w:p w14:paraId="58D025FC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16 фактів незаконного поводження зі зброєю, 14 особам повідомлено  про підозру, питома вага 87,5 % по області 83,1 %.</w:t>
      </w:r>
    </w:p>
    <w:p w14:paraId="444E0FCF" w14:textId="77777777" w:rsidR="00335CCE" w:rsidRPr="00533C2F" w:rsidRDefault="00335CCE" w:rsidP="00335CCE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Також в звітному періоді виявлено 10 фактів незаконного поводження з вогнепальною зброєю, 8 особам повідомлено про підозру, питома вага 80,0 %, по області 80,2 %.</w:t>
      </w:r>
    </w:p>
    <w:p w14:paraId="01C15B2F" w14:textId="77777777" w:rsidR="00335CCE" w:rsidRPr="00533C2F" w:rsidRDefault="00335CCE" w:rsidP="00533C2F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11 фактів дорожньо-транспортної пригоди, 3 особам повідомлено про підозру , питома вага 27,3 %, по області 51,9 %.</w:t>
      </w:r>
    </w:p>
    <w:p w14:paraId="71D3CB86" w14:textId="77777777" w:rsidR="00335CCE" w:rsidRPr="00533C2F" w:rsidRDefault="00335CCE" w:rsidP="00335CCE">
      <w:pPr>
        <w:ind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незаконне заволодіння ТЗ -1, розкрито-1, питома вага 100 % по області 90,2 %.</w:t>
      </w:r>
    </w:p>
    <w:p w14:paraId="6533CF63" w14:textId="77777777" w:rsidR="00335CCE" w:rsidRPr="00533C2F" w:rsidRDefault="00335CCE" w:rsidP="00335CCE">
      <w:pPr>
        <w:ind w:right="-2" w:firstLine="709"/>
        <w:jc w:val="both"/>
        <w:rPr>
          <w:bCs/>
          <w:sz w:val="28"/>
          <w:szCs w:val="28"/>
        </w:rPr>
      </w:pPr>
      <w:r w:rsidRPr="00533C2F">
        <w:rPr>
          <w:bCs/>
          <w:sz w:val="28"/>
          <w:szCs w:val="28"/>
        </w:rPr>
        <w:t>- зареєстровано 1 факт хуліганства,   розкрито -0, питома вага 0 %, по області 79,4 %.</w:t>
      </w:r>
    </w:p>
    <w:p w14:paraId="0FA7F58A" w14:textId="77777777" w:rsidR="00AD4E75" w:rsidRPr="00533C2F" w:rsidRDefault="00AD4E75" w:rsidP="00AD4E75">
      <w:pPr>
        <w:ind w:right="-2" w:firstLine="709"/>
        <w:jc w:val="both"/>
        <w:rPr>
          <w:iCs/>
          <w:sz w:val="28"/>
          <w:szCs w:val="28"/>
        </w:rPr>
      </w:pPr>
      <w:r w:rsidRPr="00533C2F">
        <w:rPr>
          <w:bCs/>
          <w:iCs/>
          <w:sz w:val="28"/>
          <w:szCs w:val="28"/>
        </w:rPr>
        <w:lastRenderedPageBreak/>
        <w:t xml:space="preserve">Крім того за вказаний період працівниками відділення поліції складено </w:t>
      </w:r>
      <w:r w:rsidRPr="00533C2F">
        <w:rPr>
          <w:iCs/>
          <w:sz w:val="28"/>
          <w:szCs w:val="28"/>
        </w:rPr>
        <w:t>6918</w:t>
      </w:r>
      <w:r w:rsidRPr="00533C2F">
        <w:rPr>
          <w:bCs/>
          <w:iCs/>
          <w:sz w:val="28"/>
          <w:szCs w:val="28"/>
        </w:rPr>
        <w:t xml:space="preserve"> </w:t>
      </w:r>
      <w:r w:rsidRPr="00533C2F">
        <w:rPr>
          <w:iCs/>
          <w:sz w:val="28"/>
          <w:szCs w:val="28"/>
        </w:rPr>
        <w:t>адміністративних матеріалів</w:t>
      </w:r>
      <w:r w:rsidRPr="00533C2F">
        <w:rPr>
          <w:bCs/>
          <w:iCs/>
          <w:sz w:val="28"/>
          <w:szCs w:val="28"/>
        </w:rPr>
        <w:t xml:space="preserve"> по яких з рішенням про накладення штрафу </w:t>
      </w:r>
      <w:r w:rsidRPr="00533C2F">
        <w:rPr>
          <w:iCs/>
          <w:sz w:val="28"/>
          <w:szCs w:val="28"/>
        </w:rPr>
        <w:t xml:space="preserve">3554  </w:t>
      </w:r>
      <w:r w:rsidRPr="00533C2F">
        <w:rPr>
          <w:bCs/>
          <w:iCs/>
          <w:sz w:val="28"/>
          <w:szCs w:val="28"/>
        </w:rPr>
        <w:t xml:space="preserve">протоколів та постанов про адміністративне правопорушення, на </w:t>
      </w:r>
      <w:r w:rsidRPr="00533C2F">
        <w:rPr>
          <w:iCs/>
          <w:sz w:val="28"/>
          <w:szCs w:val="28"/>
        </w:rPr>
        <w:t xml:space="preserve">загальну суму </w:t>
      </w:r>
      <w:r w:rsidRPr="00533C2F">
        <w:rPr>
          <w:bCs/>
          <w:iCs/>
          <w:sz w:val="28"/>
          <w:szCs w:val="28"/>
        </w:rPr>
        <w:t xml:space="preserve">3 мільйона 443 тисяч гривень </w:t>
      </w:r>
      <w:r w:rsidRPr="00533C2F">
        <w:rPr>
          <w:iCs/>
          <w:sz w:val="28"/>
          <w:szCs w:val="28"/>
        </w:rPr>
        <w:t xml:space="preserve">з яких добровільно сплачено </w:t>
      </w:r>
      <w:r w:rsidRPr="00533C2F">
        <w:rPr>
          <w:bCs/>
          <w:iCs/>
          <w:sz w:val="28"/>
          <w:szCs w:val="28"/>
        </w:rPr>
        <w:t>866,5 тис. грн.</w:t>
      </w:r>
    </w:p>
    <w:p w14:paraId="39836A2D" w14:textId="77777777" w:rsidR="00AD4E75" w:rsidRPr="00533C2F" w:rsidRDefault="00AD4E75" w:rsidP="00AD4E75">
      <w:pPr>
        <w:ind w:right="-2"/>
        <w:jc w:val="both"/>
        <w:rPr>
          <w:iCs/>
          <w:sz w:val="28"/>
          <w:szCs w:val="28"/>
        </w:rPr>
      </w:pPr>
      <w:r w:rsidRPr="00533C2F">
        <w:rPr>
          <w:iCs/>
          <w:sz w:val="28"/>
          <w:szCs w:val="28"/>
        </w:rPr>
        <w:t xml:space="preserve">Ще </w:t>
      </w:r>
      <w:r w:rsidRPr="00533C2F">
        <w:rPr>
          <w:bCs/>
          <w:iCs/>
          <w:sz w:val="28"/>
          <w:szCs w:val="28"/>
        </w:rPr>
        <w:t xml:space="preserve">2227 </w:t>
      </w:r>
      <w:r w:rsidRPr="00533C2F">
        <w:rPr>
          <w:iCs/>
          <w:sz w:val="28"/>
          <w:szCs w:val="28"/>
        </w:rPr>
        <w:t xml:space="preserve">адміністративних матеріалів направлено на ДВС для примусового стягнення штрафів та в разі повного стягнення штрафів в подвійному розмірі сума отриманих коштів може становити </w:t>
      </w:r>
      <w:r w:rsidRPr="00533C2F">
        <w:rPr>
          <w:bCs/>
          <w:iCs/>
          <w:sz w:val="28"/>
          <w:szCs w:val="28"/>
        </w:rPr>
        <w:t>5 мільйонів 279 тисяч гривень</w:t>
      </w:r>
      <w:r w:rsidRPr="00533C2F">
        <w:rPr>
          <w:iCs/>
          <w:sz w:val="28"/>
          <w:szCs w:val="28"/>
        </w:rPr>
        <w:t>.</w:t>
      </w:r>
    </w:p>
    <w:p w14:paraId="018D1F49" w14:textId="77777777" w:rsidR="00335CCE" w:rsidRPr="00335CCE" w:rsidRDefault="00335CCE" w:rsidP="00335CCE">
      <w:pPr>
        <w:ind w:right="-2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Досить проблемним питанням є крадіжки з приватних будинків, шахрайство, проводяться </w:t>
      </w:r>
      <w:proofErr w:type="spellStart"/>
      <w:r>
        <w:rPr>
          <w:bCs/>
          <w:iCs/>
          <w:sz w:val="28"/>
          <w:szCs w:val="28"/>
        </w:rPr>
        <w:t>оперативно</w:t>
      </w:r>
      <w:proofErr w:type="spellEnd"/>
      <w:r>
        <w:rPr>
          <w:bCs/>
          <w:iCs/>
          <w:sz w:val="28"/>
          <w:szCs w:val="28"/>
        </w:rPr>
        <w:t xml:space="preserve"> - розшукові заходи щодо встановлення осіб, які займаються збутом наркотичних засобів  на території  обслуговування та даний напрямок діяльності перебуває на постійному контролі керівництва підрозділу.   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F5EC51" w14:textId="77777777" w:rsidR="00335CCE" w:rsidRPr="00335CCE" w:rsidRDefault="00335CCE" w:rsidP="00335CCE">
      <w:pPr>
        <w:ind w:firstLine="709"/>
        <w:jc w:val="both"/>
        <w:rPr>
          <w:sz w:val="28"/>
          <w:szCs w:val="28"/>
        </w:rPr>
      </w:pPr>
      <w:r w:rsidRPr="0082267F">
        <w:rPr>
          <w:bCs/>
          <w:sz w:val="28"/>
          <w:szCs w:val="28"/>
        </w:rPr>
        <w:t xml:space="preserve">Виконуючи </w:t>
      </w:r>
      <w:r w:rsidRPr="0082267F">
        <w:rPr>
          <w:sz w:val="28"/>
          <w:szCs w:val="28"/>
        </w:rPr>
        <w:t>Комплексну оборонно-правоохоронну програму</w:t>
      </w:r>
      <w:r w:rsidRPr="00E81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Козятинської міської територіальної громади </w:t>
      </w:r>
      <w:r w:rsidRPr="00E81F74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E81F74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E81F74">
        <w:rPr>
          <w:sz w:val="28"/>
          <w:szCs w:val="28"/>
        </w:rPr>
        <w:t xml:space="preserve"> роки міською радою було </w:t>
      </w:r>
      <w:r w:rsidRPr="00335CCE">
        <w:rPr>
          <w:sz w:val="28"/>
          <w:szCs w:val="28"/>
        </w:rPr>
        <w:t>виділено кошти у сумі – 630 тис. грн., з яких:</w:t>
      </w:r>
    </w:p>
    <w:p w14:paraId="7E77AD20" w14:textId="77777777" w:rsidR="00335CCE" w:rsidRPr="00335CCE" w:rsidRDefault="00335CCE" w:rsidP="00335CC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35CCE">
        <w:rPr>
          <w:sz w:val="28"/>
          <w:szCs w:val="28"/>
        </w:rPr>
        <w:t>350 тис. грн. використано на придбання паливно-мастильних матеріалів;</w:t>
      </w:r>
    </w:p>
    <w:p w14:paraId="503997D4" w14:textId="77777777" w:rsidR="00335CCE" w:rsidRPr="00335CCE" w:rsidRDefault="00335CCE" w:rsidP="00335CC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35CCE">
        <w:rPr>
          <w:sz w:val="28"/>
          <w:szCs w:val="28"/>
        </w:rPr>
        <w:t>100 тис. грн. використано на придбання будівельних матеріалів для ремонту приміщення;</w:t>
      </w:r>
    </w:p>
    <w:p w14:paraId="4C82712A" w14:textId="77777777" w:rsidR="00335CCE" w:rsidRPr="00335CCE" w:rsidRDefault="00335CCE" w:rsidP="00335CC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35CCE">
        <w:rPr>
          <w:sz w:val="28"/>
          <w:szCs w:val="28"/>
        </w:rPr>
        <w:t>100 тис. грн. були спрямовані на утримання службового автотранспорту (придбання запчастин та здійснення поточного ремонту на станціях технічного обслуговування).</w:t>
      </w:r>
    </w:p>
    <w:p w14:paraId="433C273B" w14:textId="77777777" w:rsidR="00335CCE" w:rsidRPr="00335CCE" w:rsidRDefault="00335CCE" w:rsidP="00335CC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35CCE">
        <w:rPr>
          <w:sz w:val="28"/>
          <w:szCs w:val="28"/>
        </w:rPr>
        <w:t xml:space="preserve">50 тис. грн. використано на придбання </w:t>
      </w:r>
      <w:proofErr w:type="spellStart"/>
      <w:r w:rsidRPr="00335CCE">
        <w:rPr>
          <w:sz w:val="28"/>
          <w:szCs w:val="28"/>
        </w:rPr>
        <w:t>відеореєстраторів</w:t>
      </w:r>
      <w:proofErr w:type="spellEnd"/>
      <w:r w:rsidRPr="00335CCE">
        <w:rPr>
          <w:sz w:val="28"/>
          <w:szCs w:val="28"/>
        </w:rPr>
        <w:t xml:space="preserve"> та </w:t>
      </w:r>
      <w:r w:rsidRPr="00335CCE">
        <w:rPr>
          <w:sz w:val="28"/>
          <w:szCs w:val="28"/>
          <w:lang w:val="en-US"/>
        </w:rPr>
        <w:t>GPRS</w:t>
      </w:r>
      <w:r w:rsidRPr="00335CCE">
        <w:rPr>
          <w:sz w:val="28"/>
          <w:szCs w:val="28"/>
        </w:rPr>
        <w:t xml:space="preserve"> </w:t>
      </w:r>
      <w:proofErr w:type="spellStart"/>
      <w:r w:rsidRPr="00335CCE">
        <w:rPr>
          <w:sz w:val="28"/>
          <w:szCs w:val="28"/>
        </w:rPr>
        <w:t>трекерів</w:t>
      </w:r>
      <w:proofErr w:type="spellEnd"/>
      <w:r w:rsidRPr="00335CCE">
        <w:rPr>
          <w:sz w:val="28"/>
          <w:szCs w:val="28"/>
        </w:rPr>
        <w:t>;</w:t>
      </w:r>
    </w:p>
    <w:p w14:paraId="75B9ED81" w14:textId="77777777" w:rsidR="00335CCE" w:rsidRPr="004E6D73" w:rsidRDefault="00335CCE" w:rsidP="00335CCE">
      <w:pPr>
        <w:numPr>
          <w:ilvl w:val="0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r w:rsidRPr="00335CCE">
        <w:rPr>
          <w:sz w:val="28"/>
          <w:szCs w:val="28"/>
        </w:rPr>
        <w:t>30 тис. грн. використано на придбання канцелярського паперу.</w:t>
      </w:r>
    </w:p>
    <w:p w14:paraId="78D95D5A" w14:textId="77777777" w:rsidR="004E6D73" w:rsidRPr="004E6D73" w:rsidRDefault="004E6D73" w:rsidP="004E6D73">
      <w:pPr>
        <w:jc w:val="both"/>
        <w:rPr>
          <w:bCs/>
          <w:iCs/>
          <w:sz w:val="28"/>
          <w:szCs w:val="28"/>
        </w:rPr>
      </w:pPr>
    </w:p>
    <w:p w14:paraId="45DF50B0" w14:textId="77777777" w:rsidR="004E6D73" w:rsidRDefault="004E6D73" w:rsidP="004E6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Протягом 2022 року, відповідно до затверджених  Програмою заходів, було профінансовано військову частину А 1329 на суму 745,7 тисяч гривень, а саме:</w:t>
      </w:r>
    </w:p>
    <w:p w14:paraId="232747AE" w14:textId="77777777" w:rsidR="004E6D73" w:rsidRPr="00433F38" w:rsidRDefault="004E6D73" w:rsidP="004E6D73">
      <w:pPr>
        <w:pStyle w:val="a4"/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Pr="004E6D7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будівельних матеріалів для поточного ремонту 65  тисяч гривень, 35 000,00 – на закупівлю оргтехніки, придбання канцтоварів, заправка та ремонт ка</w:t>
      </w:r>
      <w:r w:rsidR="00433F38">
        <w:rPr>
          <w:sz w:val="28"/>
          <w:szCs w:val="28"/>
          <w:lang w:val="uk-UA"/>
        </w:rPr>
        <w:t>ртриджів;</w:t>
      </w:r>
    </w:p>
    <w:p w14:paraId="34F5AC96" w14:textId="77777777" w:rsidR="00433F38" w:rsidRPr="00433F38" w:rsidRDefault="00433F38" w:rsidP="004E6D73">
      <w:pPr>
        <w:pStyle w:val="a4"/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дизельних генераторів – 460 тисяч гривень, придбання будматеріалів для обладнання приміщення пожежного автомобіля -  75 000,00 гривень;</w:t>
      </w:r>
    </w:p>
    <w:p w14:paraId="4FEAD02E" w14:textId="77777777" w:rsidR="00433F38" w:rsidRPr="00433F38" w:rsidRDefault="00433F38" w:rsidP="004E6D73">
      <w:pPr>
        <w:pStyle w:val="a4"/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канцтоварів, заправка та ремонт картриджів – 35 000,00гривень;</w:t>
      </w:r>
    </w:p>
    <w:p w14:paraId="7E415ECE" w14:textId="77777777" w:rsidR="00433F38" w:rsidRPr="008D6B60" w:rsidRDefault="00433F38" w:rsidP="004E6D73">
      <w:pPr>
        <w:pStyle w:val="a4"/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придбання будівельних матеріалів – 45 777,00.</w:t>
      </w:r>
    </w:p>
    <w:p w14:paraId="2CDF0CD5" w14:textId="77777777" w:rsidR="008D6B60" w:rsidRDefault="008D6B60" w:rsidP="008D6B60">
      <w:pPr>
        <w:jc w:val="both"/>
        <w:rPr>
          <w:bCs/>
          <w:iCs/>
          <w:sz w:val="28"/>
          <w:szCs w:val="28"/>
        </w:rPr>
      </w:pPr>
    </w:p>
    <w:p w14:paraId="03FC14EF" w14:textId="77777777" w:rsidR="0098323C" w:rsidRDefault="002F3727" w:rsidP="002F3727">
      <w:pPr>
        <w:ind w:left="284" w:firstLine="785"/>
        <w:jc w:val="both"/>
        <w:rPr>
          <w:rStyle w:val="FontStyle28"/>
          <w:sz w:val="28"/>
          <w:szCs w:val="28"/>
        </w:rPr>
      </w:pPr>
      <w:r>
        <w:rPr>
          <w:bCs/>
          <w:iCs/>
          <w:sz w:val="28"/>
          <w:szCs w:val="28"/>
        </w:rPr>
        <w:t xml:space="preserve">З метою зміцнення обороноздатності та удосконалення територіальної оборони, забезпечення виконання завдань з мобілізації людських  та транспортних ресурсів, </w:t>
      </w:r>
      <w:r>
        <w:rPr>
          <w:rStyle w:val="FontStyle28"/>
          <w:sz w:val="28"/>
          <w:szCs w:val="28"/>
        </w:rPr>
        <w:t xml:space="preserve">першому </w:t>
      </w:r>
      <w:r w:rsidRPr="007A6C46">
        <w:rPr>
          <w:rStyle w:val="FontStyle28"/>
          <w:sz w:val="28"/>
          <w:szCs w:val="28"/>
        </w:rPr>
        <w:t>відділу (м.</w:t>
      </w:r>
      <w:r>
        <w:rPr>
          <w:rStyle w:val="FontStyle28"/>
          <w:sz w:val="28"/>
          <w:szCs w:val="28"/>
        </w:rPr>
        <w:t xml:space="preserve"> </w:t>
      </w:r>
      <w:r w:rsidRPr="007A6C46">
        <w:rPr>
          <w:rStyle w:val="FontStyle28"/>
          <w:sz w:val="28"/>
          <w:szCs w:val="28"/>
        </w:rPr>
        <w:t>Козятин) Хмільницького районного територіального центру компле</w:t>
      </w:r>
      <w:r>
        <w:rPr>
          <w:rStyle w:val="FontStyle28"/>
          <w:sz w:val="28"/>
          <w:szCs w:val="28"/>
        </w:rPr>
        <w:t xml:space="preserve">ктування та соціальної підтримки, протягом минулого року, на засіданнях сесій Козятинської міської ради та виконавчого комітету було виділено </w:t>
      </w:r>
      <w:r w:rsidR="0098323C">
        <w:rPr>
          <w:rStyle w:val="FontStyle28"/>
          <w:sz w:val="28"/>
          <w:szCs w:val="28"/>
        </w:rPr>
        <w:t>400  тисяч гривень, а саме:</w:t>
      </w:r>
    </w:p>
    <w:p w14:paraId="78BBC839" w14:textId="77777777" w:rsidR="0073160F" w:rsidRDefault="0073160F" w:rsidP="0098323C">
      <w:pPr>
        <w:pStyle w:val="a4"/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lastRenderedPageBreak/>
        <w:t>20 тисяч гривень на проведення міської призовної кампанії;</w:t>
      </w:r>
    </w:p>
    <w:p w14:paraId="56FD23C6" w14:textId="77777777" w:rsidR="0073160F" w:rsidRDefault="0073160F" w:rsidP="0098323C">
      <w:pPr>
        <w:pStyle w:val="a4"/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придбання пластикових вікон – 280 тисяч гривень;</w:t>
      </w:r>
    </w:p>
    <w:p w14:paraId="48524084" w14:textId="77777777" w:rsidR="008D6B60" w:rsidRPr="0098323C" w:rsidRDefault="0073160F" w:rsidP="00570444">
      <w:pPr>
        <w:pStyle w:val="a4"/>
        <w:numPr>
          <w:ilvl w:val="0"/>
          <w:numId w:val="2"/>
        </w:numPr>
        <w:ind w:left="284" w:firstLine="425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100 000, 00 були </w:t>
      </w:r>
      <w:r w:rsidR="00B42F08">
        <w:rPr>
          <w:bCs/>
          <w:iCs/>
          <w:sz w:val="28"/>
          <w:szCs w:val="28"/>
          <w:lang w:val="uk-UA"/>
        </w:rPr>
        <w:t>нараховані на адресу ОТЦК та СП, з ме</w:t>
      </w:r>
      <w:r w:rsidR="00570444">
        <w:rPr>
          <w:bCs/>
          <w:iCs/>
          <w:sz w:val="28"/>
          <w:szCs w:val="28"/>
          <w:lang w:val="uk-UA"/>
        </w:rPr>
        <w:t xml:space="preserve">тою </w:t>
      </w:r>
      <w:r w:rsidR="00570444">
        <w:rPr>
          <w:sz w:val="28"/>
          <w:szCs w:val="28"/>
          <w:lang w:val="uk-UA" w:eastAsia="uk-UA"/>
        </w:rPr>
        <w:t>в</w:t>
      </w:r>
      <w:r w:rsidR="00570444" w:rsidRPr="00570444">
        <w:rPr>
          <w:sz w:val="28"/>
          <w:szCs w:val="28"/>
          <w:lang w:val="uk-UA"/>
        </w:rPr>
        <w:t>иготовлення єдиної формалізованої документації для забезпечення функціонування елементів бази мобілізаційного розгортання, забезпечення елементів бази обладнанням, канцелярським приладдям та майном оновлення</w:t>
      </w:r>
      <w:r w:rsidR="00570444">
        <w:rPr>
          <w:sz w:val="28"/>
          <w:szCs w:val="28"/>
          <w:lang w:val="uk-UA"/>
        </w:rPr>
        <w:t>,</w:t>
      </w:r>
      <w:r w:rsidR="00CA44CC">
        <w:rPr>
          <w:sz w:val="28"/>
          <w:szCs w:val="28"/>
          <w:lang w:val="uk-UA"/>
        </w:rPr>
        <w:t xml:space="preserve"> тому, як</w:t>
      </w:r>
      <w:r w:rsidR="00570444">
        <w:rPr>
          <w:sz w:val="28"/>
          <w:szCs w:val="28"/>
          <w:lang w:val="uk-UA"/>
        </w:rPr>
        <w:t xml:space="preserve"> </w:t>
      </w:r>
      <w:r w:rsidR="00CA44CC">
        <w:rPr>
          <w:sz w:val="28"/>
          <w:szCs w:val="28"/>
          <w:lang w:val="uk-UA"/>
        </w:rPr>
        <w:t xml:space="preserve"> дані кошти вчасно не були використані,  їх повернуто</w:t>
      </w:r>
      <w:r w:rsidR="00B42F08">
        <w:rPr>
          <w:sz w:val="28"/>
          <w:szCs w:val="28"/>
          <w:lang w:val="uk-UA"/>
        </w:rPr>
        <w:t xml:space="preserve"> до міського бюджету.</w:t>
      </w:r>
    </w:p>
    <w:p w14:paraId="1681DCC6" w14:textId="77777777" w:rsidR="00937AA8" w:rsidRDefault="00433F38" w:rsidP="00F41113">
      <w:pPr>
        <w:ind w:left="284" w:firstLine="78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 зв’язку з війсь</w:t>
      </w:r>
      <w:r w:rsidR="00101E0F">
        <w:rPr>
          <w:bCs/>
          <w:iCs/>
          <w:sz w:val="28"/>
          <w:szCs w:val="28"/>
        </w:rPr>
        <w:t xml:space="preserve">ковою агресією </w:t>
      </w:r>
      <w:proofErr w:type="spellStart"/>
      <w:r w:rsidR="00101E0F">
        <w:rPr>
          <w:bCs/>
          <w:iCs/>
          <w:sz w:val="28"/>
          <w:szCs w:val="28"/>
        </w:rPr>
        <w:t>рф</w:t>
      </w:r>
      <w:proofErr w:type="spellEnd"/>
      <w:r w:rsidR="00101E0F">
        <w:rPr>
          <w:bCs/>
          <w:iCs/>
          <w:sz w:val="28"/>
          <w:szCs w:val="28"/>
        </w:rPr>
        <w:t xml:space="preserve"> проти України з</w:t>
      </w:r>
      <w:r>
        <w:rPr>
          <w:bCs/>
          <w:iCs/>
          <w:sz w:val="28"/>
          <w:szCs w:val="28"/>
        </w:rPr>
        <w:t xml:space="preserve"> метою виконання ві</w:t>
      </w:r>
      <w:r w:rsidR="00101E0F">
        <w:rPr>
          <w:bCs/>
          <w:iCs/>
          <w:sz w:val="28"/>
          <w:szCs w:val="28"/>
        </w:rPr>
        <w:t xml:space="preserve">йськових завдань по відсічі ворога, 18 березня 2022 року рішенням сесія № 84 «Про внесення змін до </w:t>
      </w:r>
      <w:r w:rsidR="00101E0F">
        <w:rPr>
          <w:sz w:val="28"/>
          <w:szCs w:val="28"/>
        </w:rPr>
        <w:t>Комплексної оборонно-правоохоронної програми</w:t>
      </w:r>
      <w:r w:rsidR="00101E0F" w:rsidRPr="00E81F74">
        <w:rPr>
          <w:sz w:val="28"/>
          <w:szCs w:val="28"/>
        </w:rPr>
        <w:t xml:space="preserve"> </w:t>
      </w:r>
      <w:r w:rsidR="00101E0F">
        <w:rPr>
          <w:sz w:val="28"/>
          <w:szCs w:val="28"/>
        </w:rPr>
        <w:t xml:space="preserve">Козятинської міської територіальної громади </w:t>
      </w:r>
      <w:r w:rsidR="00101E0F" w:rsidRPr="00E81F74">
        <w:rPr>
          <w:sz w:val="28"/>
          <w:szCs w:val="28"/>
        </w:rPr>
        <w:t>на 20</w:t>
      </w:r>
      <w:r w:rsidR="00101E0F">
        <w:rPr>
          <w:sz w:val="28"/>
          <w:szCs w:val="28"/>
        </w:rPr>
        <w:t>21</w:t>
      </w:r>
      <w:r w:rsidR="00101E0F" w:rsidRPr="00E81F74">
        <w:rPr>
          <w:sz w:val="28"/>
          <w:szCs w:val="28"/>
        </w:rPr>
        <w:t>-202</w:t>
      </w:r>
      <w:r w:rsidR="00101E0F">
        <w:rPr>
          <w:sz w:val="28"/>
          <w:szCs w:val="28"/>
        </w:rPr>
        <w:t>5</w:t>
      </w:r>
      <w:r w:rsidR="00101E0F" w:rsidRPr="00E81F74">
        <w:rPr>
          <w:sz w:val="28"/>
          <w:szCs w:val="28"/>
        </w:rPr>
        <w:t xml:space="preserve"> роки</w:t>
      </w:r>
      <w:r w:rsidR="00101E0F">
        <w:rPr>
          <w:bCs/>
          <w:iCs/>
          <w:sz w:val="28"/>
          <w:szCs w:val="28"/>
        </w:rPr>
        <w:t xml:space="preserve">» було затверджено матеріальне забезпечення підрозділів  </w:t>
      </w:r>
      <w:proofErr w:type="spellStart"/>
      <w:r w:rsidR="00101E0F">
        <w:rPr>
          <w:bCs/>
          <w:iCs/>
          <w:sz w:val="28"/>
          <w:szCs w:val="28"/>
        </w:rPr>
        <w:t>ТрО</w:t>
      </w:r>
      <w:proofErr w:type="spellEnd"/>
      <w:r w:rsidR="00101E0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A75004">
        <w:rPr>
          <w:bCs/>
          <w:iCs/>
          <w:sz w:val="28"/>
          <w:szCs w:val="28"/>
        </w:rPr>
        <w:t>та виділено кошти</w:t>
      </w:r>
      <w:r w:rsidR="00101E0F">
        <w:rPr>
          <w:bCs/>
          <w:iCs/>
          <w:sz w:val="28"/>
          <w:szCs w:val="28"/>
        </w:rPr>
        <w:t xml:space="preserve"> в сум</w:t>
      </w:r>
      <w:r w:rsidR="00A75004">
        <w:rPr>
          <w:bCs/>
          <w:iCs/>
          <w:sz w:val="28"/>
          <w:szCs w:val="28"/>
        </w:rPr>
        <w:t>і 200 тисяч гривень. На засіданні сесії від 24.10.2022 № 286,</w:t>
      </w:r>
      <w:r w:rsidR="00533C2F">
        <w:rPr>
          <w:bCs/>
          <w:iCs/>
          <w:sz w:val="28"/>
          <w:szCs w:val="28"/>
        </w:rPr>
        <w:t xml:space="preserve"> </w:t>
      </w:r>
      <w:r w:rsidR="00A75004">
        <w:rPr>
          <w:bCs/>
          <w:iCs/>
          <w:sz w:val="28"/>
          <w:szCs w:val="28"/>
        </w:rPr>
        <w:t xml:space="preserve"> з метою </w:t>
      </w:r>
      <w:r w:rsidR="00ED2431">
        <w:rPr>
          <w:bCs/>
          <w:iCs/>
          <w:sz w:val="28"/>
          <w:szCs w:val="28"/>
        </w:rPr>
        <w:t>матеріального забезпечення військової частини А 7339, були виділені кошти в сумі 800 тисяч гривень, а також 100 000,00 гривень на потреби військової частини А 7048.</w:t>
      </w:r>
    </w:p>
    <w:p w14:paraId="0EFF6316" w14:textId="77777777" w:rsidR="00073A0C" w:rsidRDefault="00073A0C" w:rsidP="00F41113">
      <w:pPr>
        <w:ind w:left="284" w:firstLine="785"/>
        <w:jc w:val="both"/>
        <w:rPr>
          <w:bCs/>
          <w:iCs/>
          <w:sz w:val="28"/>
          <w:szCs w:val="28"/>
        </w:rPr>
      </w:pPr>
    </w:p>
    <w:p w14:paraId="7688FD95" w14:textId="77777777" w:rsidR="00073A0C" w:rsidRDefault="00F41113" w:rsidP="00073A0C">
      <w:pPr>
        <w:ind w:left="284" w:firstLine="78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Управління Державної міграційної служби </w:t>
      </w:r>
      <w:r w:rsidR="00F94BD6">
        <w:rPr>
          <w:bCs/>
          <w:iCs/>
          <w:sz w:val="28"/>
          <w:szCs w:val="28"/>
        </w:rPr>
        <w:t xml:space="preserve">України у Вінницькій області – </w:t>
      </w:r>
      <w:r w:rsidR="00073A0C">
        <w:rPr>
          <w:bCs/>
          <w:iCs/>
          <w:sz w:val="28"/>
          <w:szCs w:val="28"/>
        </w:rPr>
        <w:t xml:space="preserve">фінансується виключно за рахунок коштів державного  бюджету, </w:t>
      </w:r>
      <w:r w:rsidR="00F94BD6">
        <w:rPr>
          <w:bCs/>
          <w:iCs/>
          <w:sz w:val="28"/>
          <w:szCs w:val="28"/>
        </w:rPr>
        <w:t>є соціально важливою установою, що входить до системи МВС України та надає адміністративні послуги з питань паспортизації та громадянства, здійснює заходи щодо роботи з іноземцями, протидії незаконній міграції, біженцями, судово-</w:t>
      </w:r>
      <w:proofErr w:type="spellStart"/>
      <w:r w:rsidR="00F94BD6">
        <w:rPr>
          <w:bCs/>
          <w:iCs/>
          <w:sz w:val="28"/>
          <w:szCs w:val="28"/>
        </w:rPr>
        <w:t>притензійної</w:t>
      </w:r>
      <w:proofErr w:type="spellEnd"/>
      <w:r w:rsidR="00F94BD6">
        <w:rPr>
          <w:bCs/>
          <w:iCs/>
          <w:sz w:val="28"/>
          <w:szCs w:val="28"/>
        </w:rPr>
        <w:t xml:space="preserve"> діяльності та інше</w:t>
      </w:r>
      <w:r w:rsidR="00073A0C">
        <w:rPr>
          <w:bCs/>
          <w:iCs/>
          <w:sz w:val="28"/>
          <w:szCs w:val="28"/>
        </w:rPr>
        <w:t xml:space="preserve">. За надання адміністративних  послуг, міграційна служба перераховує до місцевих бюджетів 70% від отриманих коштів. Протягом року оформлено 43732 паспорти громадянина України та 85561 закордонний паспорт. Оформлено 128  дозволів на імміграцію іноземцям в Україну, видано 915 повісток на тимчасове проживання, видано 229 посвідок на постійне проживання, продовжено </w:t>
      </w:r>
      <w:r w:rsidR="00AD4E75">
        <w:rPr>
          <w:bCs/>
          <w:iCs/>
          <w:sz w:val="28"/>
          <w:szCs w:val="28"/>
        </w:rPr>
        <w:t>термін перебування 82 іноземцям, до адміністративної відповідальності притягнуто 385 порушників міграційного законодавства. Всього накладено штрафів на суму – 688 тисяч 931 гривень. До місцевого бюджету Козятинської міської громади перераховано 1 млн. 982 тис. гривень.</w:t>
      </w:r>
      <w:r w:rsidR="00BA035D">
        <w:rPr>
          <w:bCs/>
          <w:iCs/>
          <w:sz w:val="28"/>
          <w:szCs w:val="28"/>
        </w:rPr>
        <w:t xml:space="preserve"> У звітному періоді</w:t>
      </w:r>
      <w:r w:rsidR="00332840">
        <w:rPr>
          <w:bCs/>
          <w:iCs/>
          <w:sz w:val="28"/>
          <w:szCs w:val="28"/>
        </w:rPr>
        <w:t>, в</w:t>
      </w:r>
      <w:r w:rsidR="00BA035D">
        <w:rPr>
          <w:bCs/>
          <w:iCs/>
          <w:sz w:val="28"/>
          <w:szCs w:val="28"/>
        </w:rPr>
        <w:t>ідповідно до вне</w:t>
      </w:r>
      <w:r w:rsidR="00332840">
        <w:rPr>
          <w:bCs/>
          <w:iCs/>
          <w:sz w:val="28"/>
          <w:szCs w:val="28"/>
        </w:rPr>
        <w:t xml:space="preserve">сених змін в пункті 5.1. Програми, рішенням виконавчого комітету Козятинської міської ради від 08.11.2022 </w:t>
      </w:r>
      <w:r w:rsidR="00BA035D">
        <w:rPr>
          <w:bCs/>
          <w:iCs/>
          <w:sz w:val="28"/>
          <w:szCs w:val="28"/>
        </w:rPr>
        <w:t xml:space="preserve"> </w:t>
      </w:r>
      <w:r w:rsidR="00332840">
        <w:rPr>
          <w:bCs/>
          <w:iCs/>
          <w:sz w:val="28"/>
          <w:szCs w:val="28"/>
        </w:rPr>
        <w:t>№ 325 «Про перерозподіл вида</w:t>
      </w:r>
      <w:r w:rsidR="0089237A">
        <w:rPr>
          <w:bCs/>
          <w:iCs/>
          <w:sz w:val="28"/>
          <w:szCs w:val="28"/>
        </w:rPr>
        <w:t>тків бюджету Козятинської міської територіальної громади на 2022</w:t>
      </w:r>
      <w:r w:rsidR="00332840">
        <w:rPr>
          <w:bCs/>
          <w:iCs/>
          <w:sz w:val="28"/>
          <w:szCs w:val="28"/>
        </w:rPr>
        <w:t>»</w:t>
      </w:r>
      <w:r w:rsidR="0089237A">
        <w:rPr>
          <w:bCs/>
          <w:iCs/>
          <w:sz w:val="28"/>
          <w:szCs w:val="28"/>
        </w:rPr>
        <w:t xml:space="preserve"> було виділено кошти в сумі 50 тисяч гривень на придбання генератора.</w:t>
      </w:r>
    </w:p>
    <w:p w14:paraId="00753EFC" w14:textId="77777777" w:rsidR="008D6B60" w:rsidRPr="00ED2431" w:rsidRDefault="008D6B60" w:rsidP="00073A0C">
      <w:pPr>
        <w:ind w:left="284" w:firstLine="785"/>
        <w:jc w:val="both"/>
        <w:rPr>
          <w:bCs/>
          <w:iCs/>
          <w:sz w:val="28"/>
          <w:szCs w:val="28"/>
        </w:rPr>
      </w:pPr>
    </w:p>
    <w:p w14:paraId="2CFDF4C8" w14:textId="306FE1C1" w:rsidR="007065E3" w:rsidRDefault="007065E3" w:rsidP="007065E3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14:paraId="4F348846" w14:textId="77777777" w:rsidR="003C11D0" w:rsidRPr="002909E9" w:rsidRDefault="003C11D0" w:rsidP="007065E3">
      <w:pPr>
        <w:jc w:val="center"/>
        <w:rPr>
          <w:sz w:val="28"/>
          <w:szCs w:val="28"/>
        </w:rPr>
      </w:pPr>
    </w:p>
    <w:p w14:paraId="25A46F15" w14:textId="77777777" w:rsidR="007065E3" w:rsidRPr="00914CC8" w:rsidRDefault="007065E3" w:rsidP="007065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41E74">
        <w:rPr>
          <w:rFonts w:ascii="Times New Roman" w:hAnsi="Times New Roman"/>
          <w:sz w:val="28"/>
          <w:szCs w:val="28"/>
        </w:rPr>
        <w:t>1. Інформаці</w:t>
      </w:r>
      <w:r>
        <w:rPr>
          <w:rFonts w:ascii="Times New Roman" w:hAnsi="Times New Roman"/>
          <w:sz w:val="28"/>
          <w:szCs w:val="28"/>
        </w:rPr>
        <w:t>ю</w:t>
      </w:r>
      <w:r w:rsidRPr="00341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065E3">
        <w:rPr>
          <w:rFonts w:ascii="Times New Roman" w:hAnsi="Times New Roman"/>
          <w:sz w:val="28"/>
          <w:szCs w:val="28"/>
        </w:rPr>
        <w:t xml:space="preserve">ро хід виконання завдань Комплексної оборонно-правоохоронної програми Козятинської міської територіальної громади на 2021-2025 </w:t>
      </w:r>
      <w:r w:rsidR="009155EE">
        <w:rPr>
          <w:rFonts w:ascii="Times New Roman" w:hAnsi="Times New Roman" w:cs="Times New Roman"/>
          <w:sz w:val="28"/>
          <w:szCs w:val="28"/>
        </w:rPr>
        <w:t>у 2022 році</w:t>
      </w:r>
      <w:r w:rsidRPr="00706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правоохоронними органами та військовими формуваннями, які здійснюють свою діяльність на території громади, </w:t>
      </w:r>
      <w:r w:rsidRPr="00914CC8">
        <w:rPr>
          <w:rFonts w:ascii="Times New Roman" w:hAnsi="Times New Roman"/>
          <w:sz w:val="28"/>
          <w:szCs w:val="28"/>
        </w:rPr>
        <w:t>взяти до відома.</w:t>
      </w:r>
    </w:p>
    <w:p w14:paraId="3046301D" w14:textId="77777777" w:rsidR="001B5CA2" w:rsidRPr="00A53F0B" w:rsidRDefault="001B5CA2" w:rsidP="009155EE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FB0A291" w14:textId="58CB32C0" w:rsidR="00DB5A2E" w:rsidRDefault="00DB5A2E" w:rsidP="00DB5A2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5E7DE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0666DC8D" w14:textId="3327B6CF" w:rsidR="003C11D0" w:rsidRDefault="003C11D0" w:rsidP="00DB5A2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59CF5C6" w14:textId="418D66D9" w:rsidR="003C11D0" w:rsidRDefault="003C11D0" w:rsidP="00DB5A2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AF7C54" w14:textId="2F419921" w:rsidR="003C11D0" w:rsidRDefault="003C11D0" w:rsidP="00DB5A2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9C4F13" w14:textId="77777777" w:rsidR="003C11D0" w:rsidRDefault="003C11D0" w:rsidP="00DB5A2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593E3A" w14:textId="77777777" w:rsidR="00DB5A2E" w:rsidRDefault="00DB5A2E" w:rsidP="00DB5A2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B4F2FA" w14:textId="77777777" w:rsidR="00DB5A2E" w:rsidRPr="003C11D0" w:rsidRDefault="00DB5A2E" w:rsidP="00DB5A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C11D0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3C11D0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       </w:t>
      </w:r>
      <w:r w:rsidRPr="003C11D0">
        <w:rPr>
          <w:rFonts w:ascii="Times New Roman" w:hAnsi="Times New Roman"/>
          <w:bCs/>
          <w:sz w:val="28"/>
          <w:szCs w:val="28"/>
        </w:rPr>
        <w:t>Тетяна</w:t>
      </w:r>
      <w:r w:rsidRPr="003C11D0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  <w:r w:rsidRPr="003C11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DA2FFB" w14:textId="77777777" w:rsidR="00DB5A2E" w:rsidRPr="00AA2A6D" w:rsidRDefault="00DB5A2E" w:rsidP="00DB5A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6F9980" w14:textId="77777777" w:rsidR="00DB5A2E" w:rsidRPr="0073195D" w:rsidRDefault="00DB5A2E" w:rsidP="00DB5A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606F1D" w14:textId="77777777" w:rsidR="00DB5A2E" w:rsidRDefault="00DB5A2E" w:rsidP="00DB5A2E"/>
    <w:p w14:paraId="47935412" w14:textId="77777777" w:rsidR="00DB5A2E" w:rsidRDefault="00DB5A2E" w:rsidP="00DB5A2E"/>
    <w:p w14:paraId="7A0D1AA4" w14:textId="77777777" w:rsidR="00DB5A2E" w:rsidRDefault="00DB5A2E" w:rsidP="00DB5A2E"/>
    <w:p w14:paraId="63C3F931" w14:textId="77777777" w:rsidR="00DB5A2E" w:rsidRDefault="00DB5A2E" w:rsidP="00DB5A2E"/>
    <w:p w14:paraId="18F2E238" w14:textId="21150F3F" w:rsidR="009155EE" w:rsidRPr="009155EE" w:rsidRDefault="003C11D0" w:rsidP="009155EE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9155EE" w:rsidRPr="009155EE" w:rsidSect="003C11D0">
          <w:pgSz w:w="12240" w:h="15840"/>
          <w:pgMar w:top="1134" w:right="567" w:bottom="567" w:left="1701" w:header="709" w:footer="709" w:gutter="0"/>
          <w:cols w:space="720"/>
        </w:sect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8DD327F" w14:textId="77777777" w:rsidR="009155EE" w:rsidRPr="00ED2431" w:rsidRDefault="009155EE" w:rsidP="009155EE">
      <w:pPr>
        <w:pStyle w:val="a3"/>
        <w:tabs>
          <w:tab w:val="left" w:pos="709"/>
        </w:tabs>
        <w:jc w:val="both"/>
        <w:rPr>
          <w:bCs/>
          <w:iCs/>
          <w:sz w:val="28"/>
          <w:szCs w:val="28"/>
        </w:rPr>
      </w:pPr>
    </w:p>
    <w:sectPr w:rsidR="009155EE" w:rsidRPr="00ED2431" w:rsidSect="00DB5A2E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5A0"/>
    <w:multiLevelType w:val="hybridMultilevel"/>
    <w:tmpl w:val="CF42AC86"/>
    <w:lvl w:ilvl="0" w:tplc="2056C7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EB5B54"/>
    <w:multiLevelType w:val="hybridMultilevel"/>
    <w:tmpl w:val="3904DD56"/>
    <w:lvl w:ilvl="0" w:tplc="5DEA4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0B"/>
    <w:rsid w:val="00073A0C"/>
    <w:rsid w:val="00101E0F"/>
    <w:rsid w:val="001B5CA2"/>
    <w:rsid w:val="002F3727"/>
    <w:rsid w:val="00332840"/>
    <w:rsid w:val="00335CCE"/>
    <w:rsid w:val="003C11D0"/>
    <w:rsid w:val="00433F38"/>
    <w:rsid w:val="004E6D73"/>
    <w:rsid w:val="00533C2F"/>
    <w:rsid w:val="00570444"/>
    <w:rsid w:val="005D6819"/>
    <w:rsid w:val="005E7DEF"/>
    <w:rsid w:val="0064510B"/>
    <w:rsid w:val="007065E3"/>
    <w:rsid w:val="0073160F"/>
    <w:rsid w:val="0089237A"/>
    <w:rsid w:val="008D6B60"/>
    <w:rsid w:val="009155EE"/>
    <w:rsid w:val="00937AA8"/>
    <w:rsid w:val="0098323C"/>
    <w:rsid w:val="009F2825"/>
    <w:rsid w:val="00A75004"/>
    <w:rsid w:val="00AD4E75"/>
    <w:rsid w:val="00B42F08"/>
    <w:rsid w:val="00B74170"/>
    <w:rsid w:val="00BA035D"/>
    <w:rsid w:val="00BD2180"/>
    <w:rsid w:val="00CA44CC"/>
    <w:rsid w:val="00DB5A2E"/>
    <w:rsid w:val="00E00E2C"/>
    <w:rsid w:val="00ED2431"/>
    <w:rsid w:val="00F41113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8B38"/>
  <w15:chartTrackingRefBased/>
  <w15:docId w15:val="{AA71E10F-6E07-40DF-A6D5-DA213A4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10B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335CCE"/>
    <w:pPr>
      <w:ind w:left="720"/>
      <w:contextualSpacing/>
    </w:pPr>
    <w:rPr>
      <w:lang w:val="ru-RU"/>
    </w:rPr>
  </w:style>
  <w:style w:type="paragraph" w:customStyle="1" w:styleId="a5">
    <w:name w:val="Документ Знак Знак Знак Знак Знак Знак Знак Знак Знак Знак Знак Знак Знак"/>
    <w:basedOn w:val="a"/>
    <w:rsid w:val="00335CCE"/>
    <w:pPr>
      <w:suppressAutoHyphens/>
      <w:ind w:firstLine="851"/>
      <w:jc w:val="both"/>
    </w:pPr>
    <w:rPr>
      <w:sz w:val="28"/>
      <w:szCs w:val="20"/>
    </w:rPr>
  </w:style>
  <w:style w:type="character" w:customStyle="1" w:styleId="FontStyle28">
    <w:name w:val="Font Style28"/>
    <w:rsid w:val="002F3727"/>
    <w:rPr>
      <w:rFonts w:ascii="Times New Roman" w:hAnsi="Times New Roman" w:cs="Times New Roman"/>
      <w:sz w:val="22"/>
      <w:szCs w:val="22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DB5A2E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6">
    <w:name w:val="Normal (Web)"/>
    <w:basedOn w:val="a"/>
    <w:rsid w:val="00DB5A2E"/>
    <w:pPr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B5A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5A2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9">
    <w:name w:val="Body Text"/>
    <w:basedOn w:val="a"/>
    <w:link w:val="aa"/>
    <w:rsid w:val="003C11D0"/>
    <w:pPr>
      <w:spacing w:after="120"/>
    </w:pPr>
    <w:rPr>
      <w:sz w:val="20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3C11D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3C11D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2023-02-03T09:23:00Z</cp:lastPrinted>
  <dcterms:created xsi:type="dcterms:W3CDTF">2023-02-20T09:11:00Z</dcterms:created>
  <dcterms:modified xsi:type="dcterms:W3CDTF">2023-02-20T09:11:00Z</dcterms:modified>
</cp:coreProperties>
</file>