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 пункту</w:t>
      </w:r>
      <w:proofErr w:type="gram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1631"/>
        <w:gridCol w:w="12838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9DB6050" w14:textId="29AA7BB1" w:rsidR="000358FC" w:rsidRPr="008037ED" w:rsidRDefault="00BB596D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6" w:history="1">
              <w:proofErr w:type="spellStart"/>
              <w:r w:rsidRPr="00BB596D">
                <w:rPr>
                  <w:rStyle w:val="a5"/>
                </w:rPr>
                <w:t>Автомобіль</w:t>
              </w:r>
              <w:proofErr w:type="spellEnd"/>
              <w:r w:rsidRPr="00BB596D">
                <w:rPr>
                  <w:rStyle w:val="a5"/>
                </w:rPr>
                <w:t xml:space="preserve"> типу </w:t>
              </w:r>
              <w:proofErr w:type="spellStart"/>
              <w:r w:rsidRPr="00BB596D">
                <w:rPr>
                  <w:rStyle w:val="a5"/>
                </w:rPr>
                <w:t>пікап</w:t>
              </w:r>
              <w:proofErr w:type="spellEnd"/>
              <w:r w:rsidRPr="00BB596D">
                <w:rPr>
                  <w:rStyle w:val="a5"/>
                </w:rPr>
                <w:t xml:space="preserve"> Peugeot </w:t>
              </w:r>
              <w:proofErr w:type="spellStart"/>
              <w:r w:rsidRPr="00BB596D">
                <w:rPr>
                  <w:rStyle w:val="a5"/>
                </w:rPr>
                <w:t>Landtrek</w:t>
              </w:r>
              <w:proofErr w:type="spellEnd"/>
              <w:r w:rsidRPr="00BB596D">
                <w:rPr>
                  <w:rStyle w:val="a5"/>
                </w:rPr>
                <w:t xml:space="preserve"> (</w:t>
              </w:r>
              <w:proofErr w:type="spellStart"/>
              <w:r w:rsidRPr="00BB596D">
                <w:rPr>
                  <w:rStyle w:val="a5"/>
                </w:rPr>
                <w:t>або</w:t>
              </w:r>
              <w:proofErr w:type="spellEnd"/>
              <w:r w:rsidRPr="00BB596D">
                <w:rPr>
                  <w:rStyle w:val="a5"/>
                </w:rPr>
                <w:t xml:space="preserve"> </w:t>
              </w:r>
              <w:proofErr w:type="spellStart"/>
              <w:r w:rsidRPr="00BB596D">
                <w:rPr>
                  <w:rStyle w:val="a5"/>
                </w:rPr>
                <w:t>еквівалент</w:t>
              </w:r>
              <w:proofErr w:type="spellEnd"/>
              <w:r w:rsidRPr="00BB596D">
                <w:rPr>
                  <w:rStyle w:val="a5"/>
                </w:rPr>
                <w:t xml:space="preserve">) для потреб ЗСУ Код ДК 021:2015: 34130000-7 </w:t>
              </w:r>
              <w:proofErr w:type="spellStart"/>
              <w:r w:rsidRPr="00BB596D">
                <w:rPr>
                  <w:rStyle w:val="a5"/>
                </w:rPr>
                <w:t>Мототранспортні</w:t>
              </w:r>
              <w:proofErr w:type="spellEnd"/>
              <w:r w:rsidRPr="00BB596D">
                <w:rPr>
                  <w:rStyle w:val="a5"/>
                </w:rPr>
                <w:t xml:space="preserve"> </w:t>
              </w:r>
              <w:proofErr w:type="spellStart"/>
              <w:r w:rsidRPr="00BB596D">
                <w:rPr>
                  <w:rStyle w:val="a5"/>
                </w:rPr>
                <w:t>вантажні</w:t>
              </w:r>
              <w:proofErr w:type="spellEnd"/>
              <w:r w:rsidRPr="00BB596D">
                <w:rPr>
                  <w:rStyle w:val="a5"/>
                </w:rPr>
                <w:t xml:space="preserve"> </w:t>
              </w:r>
              <w:proofErr w:type="spellStart"/>
              <w:r w:rsidRPr="00BB596D">
                <w:rPr>
                  <w:rStyle w:val="a5"/>
                </w:rPr>
                <w:t>засоби</w:t>
              </w:r>
              <w:proofErr w:type="spellEnd"/>
              <w:r w:rsidRPr="00BB596D">
                <w:rPr>
                  <w:rStyle w:val="a5"/>
                </w:rPr>
                <w:t xml:space="preserve"> (34131000-4 – </w:t>
              </w:r>
              <w:proofErr w:type="spellStart"/>
              <w:r w:rsidRPr="00BB596D">
                <w:rPr>
                  <w:rStyle w:val="a5"/>
                </w:rPr>
                <w:t>Пікапи</w:t>
              </w:r>
              <w:proofErr w:type="spellEnd"/>
              <w:r w:rsidRPr="00BB596D">
                <w:rPr>
                  <w:rStyle w:val="a5"/>
                </w:rPr>
                <w:t>)</w:t>
              </w:r>
            </w:hyperlink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04D03BF9" w:rsidR="000358FC" w:rsidRPr="00A34818" w:rsidRDefault="00BB596D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B596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UA-2025-03-11-013607-a</w:t>
            </w:r>
          </w:p>
        </w:tc>
      </w:tr>
      <w:tr w:rsidR="000358FC" w:rsidRPr="000358FC" w14:paraId="586AFCA9" w14:textId="77777777" w:rsidTr="0083752D">
        <w:trPr>
          <w:trHeight w:val="803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CEDB7D5" w14:textId="77777777" w:rsidR="00634EFB" w:rsidRDefault="0044284E" w:rsidP="0083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Закупівля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проводиться на запит в\ч,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відповідно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Комплексної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оборонно-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правоохоронної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програми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Козятинської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територіальної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громади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2021-2025 роки. </w:t>
            </w:r>
          </w:p>
          <w:p w14:paraId="57916B09" w14:textId="77777777" w:rsidR="00BB596D" w:rsidRPr="00110095" w:rsidRDefault="00BB596D" w:rsidP="00BB5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Закупівля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товару </w:t>
            </w:r>
            <w:proofErr w:type="spellStart"/>
            <w:proofErr w:type="gram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для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потреб ЗСУ.</w:t>
            </w:r>
            <w:r w:rsidRPr="00BD0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пункту 3 постанови КМУ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2022 р. № 1178 "Про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затвердження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публічних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передбачених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Законом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“Про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публічні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”, на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режиму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стану в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90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з дня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припинення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скасування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пункту 6-1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розділу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X “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Прикінцеві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перехідні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” Закону не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застосовуються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замовниками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товару для потреб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Збройних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Сил,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військових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формувань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правоохоронних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запит з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подальшою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передачею таких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запитувача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C41C4E" w14:textId="77777777" w:rsidR="00BB596D" w:rsidRDefault="00BB596D" w:rsidP="00BB596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Обґрунтування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посилання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конкретного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виробника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тип та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конкретну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модель/марку товару є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необхідним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оскільки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основними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якісними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технічними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характеристиками товар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цієї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компанії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є таким,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максимально точно та оптимально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відповідає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вимогам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потребам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замовника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отриманого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запиту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щодо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потреби.</w:t>
            </w:r>
          </w:p>
          <w:p w14:paraId="7E7E7C40" w14:textId="77777777" w:rsidR="00BB596D" w:rsidRDefault="00BB596D" w:rsidP="00BB59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4DDC9C6" w14:textId="77777777" w:rsidR="00BB596D" w:rsidRPr="00D57DB1" w:rsidRDefault="00BB596D" w:rsidP="00BB5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товару: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Майдану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Вінницької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22100</w:t>
            </w:r>
          </w:p>
          <w:p w14:paraId="6B92855D" w14:textId="77777777" w:rsidR="00BB596D" w:rsidRPr="00D57DB1" w:rsidRDefault="00BB596D" w:rsidP="00BB5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Поставка товару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рахунок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постачальника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повному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обсязі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04.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року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включно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14:paraId="6F132693" w14:textId="77777777" w:rsidR="00BB596D" w:rsidRPr="00D57DB1" w:rsidRDefault="00BB596D" w:rsidP="00BB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товару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</w:t>
            </w:r>
            <w:proofErr w:type="spellEnd"/>
          </w:p>
          <w:p w14:paraId="4CBBB948" w14:textId="77777777" w:rsidR="00BB596D" w:rsidRPr="00D57DB1" w:rsidRDefault="00BB596D" w:rsidP="00BB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 повинен бути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раніше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 року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випуску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BFDDF0" w14:textId="77777777" w:rsidR="00BB596D" w:rsidRPr="00D57DB1" w:rsidRDefault="00BB596D" w:rsidP="00BB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9D4E28" w14:textId="77777777" w:rsidR="00BB596D" w:rsidRDefault="00BB596D" w:rsidP="00BB596D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1.Т</w:t>
            </w:r>
            <w:r w:rsidRPr="00486E6C">
              <w:rPr>
                <w:rFonts w:eastAsia="Calibri"/>
                <w:b/>
                <w:lang w:val="uk-UA" w:eastAsia="en-US"/>
              </w:rPr>
              <w:t xml:space="preserve">ехнічні, якісні та кількісні характеристики </w:t>
            </w:r>
            <w:r>
              <w:rPr>
                <w:rFonts w:eastAsia="Calibri"/>
                <w:b/>
                <w:lang w:val="uk-UA" w:eastAsia="en-US"/>
              </w:rPr>
              <w:t>наведені в таблиці:</w:t>
            </w:r>
          </w:p>
          <w:p w14:paraId="52CC4AB1" w14:textId="77777777" w:rsidR="00BB596D" w:rsidRDefault="00BB596D" w:rsidP="00BB596D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</w:p>
          <w:tbl>
            <w:tblPr>
              <w:tblW w:w="111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"/>
              <w:gridCol w:w="1283"/>
              <w:gridCol w:w="7842"/>
              <w:gridCol w:w="850"/>
              <w:gridCol w:w="893"/>
              <w:gridCol w:w="1142"/>
            </w:tblGrid>
            <w:tr w:rsidR="00BB596D" w:rsidRPr="0057258A" w14:paraId="5728CF61" w14:textId="77777777" w:rsidTr="00DF6372">
              <w:trPr>
                <w:trHeight w:val="1226"/>
                <w:jc w:val="center"/>
              </w:trPr>
              <w:tc>
                <w:tcPr>
                  <w:tcW w:w="562" w:type="dxa"/>
                </w:tcPr>
                <w:p w14:paraId="025A534D" w14:textId="77777777" w:rsidR="00BB596D" w:rsidRPr="0057258A" w:rsidRDefault="00BB596D" w:rsidP="00BB59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1843" w:type="dxa"/>
                </w:tcPr>
                <w:p w14:paraId="5E3A7322" w14:textId="77777777" w:rsidR="00BB596D" w:rsidRPr="0057258A" w:rsidRDefault="00BB596D" w:rsidP="00BB59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Найменування</w:t>
                  </w:r>
                  <w:proofErr w:type="spellEnd"/>
                </w:p>
              </w:tc>
              <w:tc>
                <w:tcPr>
                  <w:tcW w:w="5528" w:type="dxa"/>
                </w:tcPr>
                <w:p w14:paraId="035FC81C" w14:textId="77777777" w:rsidR="00BB596D" w:rsidRPr="0057258A" w:rsidRDefault="00BB596D" w:rsidP="00BB59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Технічні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характеристики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0C8C7BBE" w14:textId="77777777" w:rsidR="00BB596D" w:rsidRPr="0057258A" w:rsidRDefault="00BB596D" w:rsidP="00BB59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Кількість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0473E9E4" w14:textId="77777777" w:rsidR="00BB596D" w:rsidRPr="0057258A" w:rsidRDefault="00BB596D" w:rsidP="00BB59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Виробник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предмета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закупівлі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18" w:type="dxa"/>
                </w:tcPr>
                <w:p w14:paraId="6DE07657" w14:textId="77777777" w:rsidR="00BB596D" w:rsidRPr="0057258A" w:rsidRDefault="00BB596D" w:rsidP="00BB59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Країна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походження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**</w:t>
                  </w:r>
                </w:p>
              </w:tc>
            </w:tr>
            <w:tr w:rsidR="00BB596D" w:rsidRPr="0057258A" w14:paraId="08DF68EB" w14:textId="77777777" w:rsidTr="00DF6372">
              <w:trPr>
                <w:trHeight w:val="432"/>
                <w:jc w:val="center"/>
              </w:trPr>
              <w:tc>
                <w:tcPr>
                  <w:tcW w:w="11194" w:type="dxa"/>
                  <w:gridSpan w:val="6"/>
                </w:tcPr>
                <w:p w14:paraId="53A8AC1B" w14:textId="77777777" w:rsidR="00BB596D" w:rsidRPr="00316EC3" w:rsidRDefault="00BB596D" w:rsidP="00BB59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B596D" w:rsidRPr="0057258A" w14:paraId="24C782EF" w14:textId="77777777" w:rsidTr="00DF6372">
              <w:tblPrEx>
                <w:tblLook w:val="04A0" w:firstRow="1" w:lastRow="0" w:firstColumn="1" w:lastColumn="0" w:noHBand="0" w:noVBand="1"/>
              </w:tblPrEx>
              <w:trPr>
                <w:trHeight w:val="421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14:paraId="7DC8C26E" w14:textId="77777777" w:rsidR="00BB596D" w:rsidRPr="0057258A" w:rsidRDefault="00BB596D" w:rsidP="00BB596D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9D7E59B" w14:textId="77777777" w:rsidR="00BB596D" w:rsidRPr="006A6E0F" w:rsidRDefault="00BB596D" w:rsidP="00BB596D">
                  <w:pPr>
                    <w:spacing w:after="0" w:line="240" w:lineRule="auto"/>
                    <w:jc w:val="center"/>
                  </w:pPr>
                  <w:proofErr w:type="spellStart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Автомобіль</w:t>
                  </w:r>
                  <w:proofErr w:type="spellEnd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типу </w:t>
                  </w:r>
                  <w:proofErr w:type="spellStart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пікап</w:t>
                  </w:r>
                  <w:proofErr w:type="spellEnd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Peugeot </w:t>
                  </w:r>
                  <w:proofErr w:type="spellStart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Landtrek</w:t>
                  </w:r>
                  <w:proofErr w:type="spellEnd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або</w:t>
                  </w:r>
                  <w:proofErr w:type="spellEnd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еквівал</w:t>
                  </w:r>
                  <w:r w:rsidRPr="00C479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ент</w:t>
                  </w:r>
                  <w:proofErr w:type="spellEnd"/>
                </w:p>
              </w:tc>
              <w:tc>
                <w:tcPr>
                  <w:tcW w:w="5528" w:type="dxa"/>
                  <w:shd w:val="clear" w:color="auto" w:fill="auto"/>
                  <w:vAlign w:val="center"/>
                </w:tcPr>
                <w:tbl>
                  <w:tblPr>
                    <w:tblW w:w="1034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862"/>
                    <w:gridCol w:w="4793"/>
                    <w:gridCol w:w="2693"/>
                  </w:tblGrid>
                  <w:tr w:rsidR="00BB596D" w14:paraId="35ADE0D8" w14:textId="77777777" w:rsidTr="00DF6372">
                    <w:trPr>
                      <w:trHeight w:val="239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A9037AA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</w:rPr>
                          <w:lastRenderedPageBreak/>
                          <w:t xml:space="preserve">Тип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автомобіля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59B42BC1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Пікап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6FFF7163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1F16FD5E" w14:textId="77777777" w:rsidTr="00DF6372">
                    <w:trPr>
                      <w:trHeight w:val="215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6A979E4D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Кабіна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55A0D606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Подвійна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63F8D28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23C616BD" w14:textId="77777777" w:rsidTr="00DF6372">
                    <w:trPr>
                      <w:trHeight w:val="215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5002BDB7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Кількість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місць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434E2A9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BE82451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1458389E" w14:textId="77777777" w:rsidTr="00DF6372">
                    <w:trPr>
                      <w:trHeight w:val="225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16305F0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Двигун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EE78148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</w:rPr>
                          <w:t>дизель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225790BC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316F3EE4" w14:textId="77777777" w:rsidTr="00DF6372">
                    <w:trPr>
                      <w:trHeight w:val="251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780C158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Вантажопідйомність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пікапа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>, кг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1860C6F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1000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E97D265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7277CC17" w14:textId="77777777" w:rsidTr="00DF6372">
                    <w:trPr>
                      <w:trHeight w:val="212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3CC6E46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Потужність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двигуна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к.с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24AF24CF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149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6E23E792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2262EA8B" w14:textId="77777777" w:rsidTr="00DF6372">
                    <w:trPr>
                      <w:trHeight w:val="189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78DD7887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Робочий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об’єм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BB596D">
                          <w:rPr>
                            <w:rFonts w:ascii="Times New Roman" w:hAnsi="Times New Roman" w:cs="Times New Roman"/>
                          </w:rPr>
                          <w:t>см.куб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6365BBB7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1900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50DF523E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61156BCE" w14:textId="77777777" w:rsidTr="00DF6372">
                    <w:trPr>
                      <w:trHeight w:val="525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7CC9E0D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lastRenderedPageBreak/>
                          <w:t>Габаритні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розміри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довжина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/ширина без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дзеркал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>/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висота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>, мм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FD84479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більше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5340/1970/1900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76C79113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4E345D39" w14:textId="77777777" w:rsidTr="00DF6372">
                    <w:trPr>
                      <w:trHeight w:val="340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DD598E1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Розміри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кузова (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ДхШхВ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56569773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1590/1590/490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52FCFAF5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22BED05E" w14:textId="77777777" w:rsidTr="00DF6372">
                    <w:trPr>
                      <w:trHeight w:val="244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9E933D7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Колісна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база, мм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2769AAC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3100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6B186A9C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3243DB6F" w14:textId="77777777" w:rsidTr="00DF6372">
                    <w:trPr>
                      <w:trHeight w:val="249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D4C7CFE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Кліренс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>, мм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A63E3C1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235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752547E4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55C87AFA" w14:textId="77777777" w:rsidTr="00DF6372">
                    <w:trPr>
                      <w:trHeight w:val="249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7045F07C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Глибина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броду, мм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627C9F8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  <w:lang w:val="en-US"/>
                          </w:rPr>
                          <w:t>600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7F7C11EC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31B9BB72" w14:textId="77777777" w:rsidTr="00DF6372">
                    <w:trPr>
                      <w:trHeight w:val="238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722A68F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Привід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575C7857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повний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1818AE2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44A8CC45" w14:textId="77777777" w:rsidTr="00DF6372">
                    <w:trPr>
                      <w:trHeight w:val="238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3D58D8DC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>Примусове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>блокування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>заднього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>міжколісного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>диференціалу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4843E99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306242C8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47EDC1DC" w14:textId="77777777" w:rsidTr="00DF6372">
                    <w:trPr>
                      <w:trHeight w:val="472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AB15633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Трансмісія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2044A1EB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механічна</w:t>
                        </w:r>
                        <w:proofErr w:type="spellEnd"/>
                      </w:p>
                      <w:p w14:paraId="0404817A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6 передач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3BE7D546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72173142" w14:textId="77777777" w:rsidTr="00DF6372">
                    <w:trPr>
                      <w:trHeight w:val="223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732F030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Передні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гальма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48351E0E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вентильовані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диски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38CED6E7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34057998" w14:textId="77777777" w:rsidTr="00DF6372">
                    <w:trPr>
                      <w:trHeight w:val="223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7EC9ACE8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Задні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гальма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9FB2AE8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барабанні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53A9CC0A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27E4F1E1" w14:textId="77777777" w:rsidTr="00DF6372">
                    <w:trPr>
                      <w:trHeight w:val="226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51168D84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Задня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підвіска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693FDDDD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нерозрізний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міст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522F4A1D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gramStart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на 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ресорах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7B3B2AC6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12E34B2D" w14:textId="77777777" w:rsidTr="00DF6372">
                    <w:trPr>
                      <w:trHeight w:val="217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152019A3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Передня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підвіска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B842DFA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Незалежна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на 4 </w:t>
                        </w:r>
                      </w:p>
                      <w:p w14:paraId="68E4864A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поперечних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ричагах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2200C71C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168BA100" w14:textId="77777777" w:rsidTr="00DF6372">
                    <w:trPr>
                      <w:trHeight w:val="206"/>
                    </w:trPr>
                    <w:tc>
                      <w:tcPr>
                        <w:tcW w:w="28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4C7B432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Ємність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бака для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пального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>, л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6C58BA81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80 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22F7C6A0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3DDC2435" w14:textId="77777777" w:rsidTr="00DF6372">
                    <w:trPr>
                      <w:trHeight w:val="339"/>
                    </w:trPr>
                    <w:tc>
                      <w:tcPr>
                        <w:tcW w:w="76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05AC2B4F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Комплектація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FFFFFF"/>
                      </w:tcPr>
                      <w:p w14:paraId="390632EB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5BD11993" w14:textId="77777777" w:rsidTr="00DF6372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165DFFE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  <w:lang w:val="en-US"/>
                          </w:rPr>
                          <w:t>ESP+ Hill Start Assist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C4EEBD6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ABA6567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19CD2507" w14:textId="77777777" w:rsidTr="00DF6372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FCF11A9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Круїз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-контроль з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обмежувачем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швидкості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5E58ADD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20D0D8A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1150BC5A" w14:textId="77777777" w:rsidTr="00DF6372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E12325D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Подушки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безпеки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>, шт.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B231C29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4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CFC2CD6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1528E66F" w14:textId="77777777" w:rsidTr="00DF6372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1567B6C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Кондиціонер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DC9B6F3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E7C6483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39BD2FC9" w14:textId="77777777" w:rsidTr="00DF6372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D1CF8EE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Задній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датчик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паркування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, з камерою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заднього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огляду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B869CAD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6356700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525F9C9D" w14:textId="77777777" w:rsidTr="00DF6372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9DF021F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Мультимедійна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система 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B611967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71882D3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309011D2" w14:textId="77777777" w:rsidTr="00DF6372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9080336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  <w:lang w:val="en-US"/>
                          </w:rPr>
                          <w:t xml:space="preserve">4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динаміки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36FEFBC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84CACDA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03F888E8" w14:textId="77777777" w:rsidTr="00DF6372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2086B0D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Мультифункціональний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кермо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7FF8952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143E016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08FA8277" w14:textId="77777777" w:rsidTr="00DF6372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0A8E8BF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Зовнішні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дзеркала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заднього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огляду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з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lastRenderedPageBreak/>
                          <w:t>електрорегулюванням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AF5D7A2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lastRenderedPageBreak/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45E1939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67FCFAFA" w14:textId="77777777" w:rsidTr="00DF6372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D6BD225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Повнорозмірне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запасне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колесо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C6990C8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8E44376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7CED0EB9" w14:textId="77777777" w:rsidTr="00DF6372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F35456C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Складання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сидінь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60/40,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утворює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рівну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highlight w:val="white"/>
                          </w:rPr>
                          <w:t>поверхню</w:t>
                        </w:r>
                        <w:proofErr w:type="spellEnd"/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9B5430F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Наявність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9DA75FB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04DA9108" w14:textId="77777777" w:rsidTr="00DF6372">
                    <w:trPr>
                      <w:trHeight w:val="278"/>
                    </w:trPr>
                    <w:tc>
                      <w:tcPr>
                        <w:tcW w:w="7655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D5AC8AB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Експлуатаційні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показники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ED10C89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52DE4E81" w14:textId="77777777" w:rsidTr="00DF6372">
                    <w:trPr>
                      <w:trHeight w:val="278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FFA884B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Екологічний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клас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>- Euro 5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94B7B6A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Відповідає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FCA6700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  <w:tr w:rsidR="00BB596D" w14:paraId="3AE989D4" w14:textId="77777777" w:rsidTr="00DF6372">
                    <w:trPr>
                      <w:trHeight w:val="70"/>
                    </w:trPr>
                    <w:tc>
                      <w:tcPr>
                        <w:tcW w:w="28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5768D18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hanging="2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Міжсервісний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інтервал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–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кожні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15 тис. км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пробігу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або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1 раз на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рік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що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наступить </w:t>
                        </w: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раніше</w:t>
                        </w:r>
                        <w:proofErr w:type="spellEnd"/>
                        <w:r w:rsidRPr="00BB596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7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00FB095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BB596D">
                          <w:rPr>
                            <w:rFonts w:ascii="Times New Roman" w:hAnsi="Times New Roman" w:cs="Times New Roman"/>
                          </w:rPr>
                          <w:t>Відповідає</w:t>
                        </w:r>
                        <w:proofErr w:type="spellEnd"/>
                      </w:p>
                    </w:tc>
                    <w:tc>
                      <w:tcPr>
                        <w:tcW w:w="269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4F5F5F6" w14:textId="77777777" w:rsidR="00BB596D" w:rsidRPr="00BB596D" w:rsidRDefault="00BB596D" w:rsidP="00BB596D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</w:tr>
                </w:tbl>
                <w:p w14:paraId="2C594AFB" w14:textId="77777777" w:rsidR="00BB596D" w:rsidRPr="00A85E08" w:rsidRDefault="00BB596D" w:rsidP="00BB59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789E452A" w14:textId="77777777" w:rsidR="00BB596D" w:rsidRPr="000F0320" w:rsidRDefault="00BB596D" w:rsidP="00BB59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одиниці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6AD04F1F" w14:textId="77777777" w:rsidR="00BB596D" w:rsidRPr="0057258A" w:rsidRDefault="00BB596D" w:rsidP="00BB59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Франція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547843A2" w14:textId="77777777" w:rsidR="00BB596D" w:rsidRPr="0057258A" w:rsidRDefault="00BB596D" w:rsidP="00BB59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Франція</w:t>
                  </w:r>
                  <w:proofErr w:type="spellEnd"/>
                </w:p>
              </w:tc>
            </w:tr>
          </w:tbl>
          <w:p w14:paraId="14F6BF94" w14:textId="77777777" w:rsidR="00BB596D" w:rsidRPr="00194F08" w:rsidRDefault="00BB596D" w:rsidP="00BB59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  </w:t>
            </w: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учасником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найменування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виробника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із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зазначенням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організаційно-правової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товариство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обмеженою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відповідальністю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приватне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підприємство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тощо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).</w:t>
            </w:r>
          </w:p>
          <w:p w14:paraId="59203F72" w14:textId="77777777" w:rsidR="00BB596D" w:rsidRPr="00194F08" w:rsidRDefault="00BB596D" w:rsidP="00BB59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походження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вважається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якій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вироблений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підданий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достатній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переробці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критеріїв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встановлених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Митним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кодексом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України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 </w:t>
            </w:r>
          </w:p>
          <w:p w14:paraId="452ED879" w14:textId="77777777" w:rsidR="00BB596D" w:rsidRDefault="00BB596D" w:rsidP="00BB5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31336E8D" w14:textId="77777777" w:rsidR="00BB596D" w:rsidRPr="00FF05E9" w:rsidRDefault="00BB596D" w:rsidP="00BB5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Характеристики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кращими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наведені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таблиці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вище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фірму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слід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читати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розуміти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як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».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Вищенаведені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вимоги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є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мінімальними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F05E9">
              <w:rPr>
                <w:rFonts w:ascii="Times New Roman" w:hAnsi="Times New Roman" w:cs="Times New Roman"/>
              </w:rPr>
              <w:t>Учасник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має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право на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власний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розсуд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пропонувати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транспортний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засіб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із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покращеними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характеристиками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або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характеристика (</w:t>
            </w:r>
            <w:proofErr w:type="spellStart"/>
            <w:r w:rsidRPr="00FF05E9">
              <w:rPr>
                <w:rFonts w:ascii="Times New Roman" w:hAnsi="Times New Roman" w:cs="Times New Roman"/>
              </w:rPr>
              <w:t>комплектацією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F05E9">
              <w:rPr>
                <w:rFonts w:ascii="Times New Roman" w:hAnsi="Times New Roman" w:cs="Times New Roman"/>
              </w:rPr>
              <w:t>вищої</w:t>
            </w:r>
            <w:proofErr w:type="spellEnd"/>
            <w:r w:rsidRPr="00FF05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5E9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FF05E9">
              <w:rPr>
                <w:rFonts w:ascii="Times New Roman" w:hAnsi="Times New Roman" w:cs="Times New Roman"/>
              </w:rPr>
              <w:t>.</w:t>
            </w:r>
          </w:p>
          <w:p w14:paraId="1D24F3D6" w14:textId="77777777" w:rsidR="00BB596D" w:rsidRDefault="00BB596D" w:rsidP="00BB59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2DAB1FB3" w14:textId="77777777" w:rsidR="00BB596D" w:rsidRDefault="00BB596D" w:rsidP="00BB596D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Учасник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наданні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своєї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пропонує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товару, то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він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додатково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складі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порівняльну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>аблицю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відповідності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запропонованого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технічним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Учасником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зазначено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назву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товару, яка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містити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словосполучення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тендерну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пропозицію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такого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учасника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відхилено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таку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що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відповідає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умовам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технічної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специфікації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іншим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предмета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тендерної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14:paraId="18EBF065" w14:textId="77777777" w:rsidR="00BB596D" w:rsidRPr="0012609E" w:rsidRDefault="00BB596D" w:rsidP="00BB596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72086B" w14:textId="77777777" w:rsidR="00BB596D" w:rsidRPr="00884CBC" w:rsidRDefault="00BB596D" w:rsidP="00BB596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17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Таблиця</w:t>
            </w:r>
            <w:proofErr w:type="spellEnd"/>
            <w:r w:rsidRPr="00F917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044"/>
              <w:gridCol w:w="2776"/>
              <w:gridCol w:w="2835"/>
            </w:tblGrid>
            <w:tr w:rsidR="00BB596D" w:rsidRPr="00E228DB" w14:paraId="4AD84E9A" w14:textId="77777777" w:rsidTr="00DF6372">
              <w:trPr>
                <w:trHeight w:val="2724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9AD69" w14:textId="77777777" w:rsidR="00BB596D" w:rsidRPr="00884CBC" w:rsidRDefault="00BB596D" w:rsidP="00BB596D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lastRenderedPageBreak/>
                    <w:t>Найменування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технічної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характеристики товару</w:t>
                  </w:r>
                </w:p>
                <w:p w14:paraId="593E8C5B" w14:textId="77777777" w:rsidR="00BB596D" w:rsidRPr="00884CBC" w:rsidRDefault="00BB596D" w:rsidP="00BB596D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4F9B5886" w14:textId="77777777" w:rsidR="00BB596D" w:rsidRPr="00884CBC" w:rsidRDefault="00BB596D" w:rsidP="00BB596D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159FE1E0" w14:textId="77777777" w:rsidR="00BB596D" w:rsidRPr="00884CBC" w:rsidRDefault="00BB596D" w:rsidP="00BB596D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31A91602" w14:textId="77777777" w:rsidR="00BB596D" w:rsidRPr="00884CBC" w:rsidRDefault="00BB596D" w:rsidP="00BB596D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E1714" w14:textId="77777777" w:rsidR="00BB596D" w:rsidRPr="00884CBC" w:rsidRDefault="00BB596D" w:rsidP="00BB596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 характеристики,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які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вимагаються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Заявником</w:t>
                  </w:r>
                  <w:proofErr w:type="spellEnd"/>
                </w:p>
                <w:p w14:paraId="1D8837A1" w14:textId="77777777" w:rsidR="00BB596D" w:rsidRPr="00884CBC" w:rsidRDefault="00BB596D" w:rsidP="00BB596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0DCADB68" w14:textId="77777777" w:rsidR="00BB596D" w:rsidRPr="00884CBC" w:rsidRDefault="00BB596D" w:rsidP="00BB596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3A4FD5EF" w14:textId="77777777" w:rsidR="00BB596D" w:rsidRPr="00884CBC" w:rsidRDefault="00BB596D" w:rsidP="00BB596D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CF11A9" w14:textId="77777777" w:rsidR="00BB596D" w:rsidRPr="00884CBC" w:rsidRDefault="00BB596D" w:rsidP="00BB596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Пропозиція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учасника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*</w:t>
                  </w:r>
                  <w:r w:rsidRPr="00884CB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884CBC">
                    <w:rPr>
                      <w:rFonts w:ascii="Times New Roman" w:eastAsia="Times New Roman" w:hAnsi="Times New Roman"/>
                      <w:i/>
                    </w:rPr>
                    <w:t>(</w:t>
                  </w:r>
                  <w:proofErr w:type="gramEnd"/>
                  <w:r w:rsidRPr="00884CBC">
                    <w:rPr>
                      <w:rFonts w:ascii="Times New Roman" w:eastAsia="Times New Roman" w:hAnsi="Times New Roman"/>
                      <w:i/>
                    </w:rPr>
                    <w:t>*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Учасник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торгову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марку,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конкретну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модель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запропонованого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товару та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найменування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його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виробника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із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зазначенням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країни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виробника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,</w:t>
                  </w:r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та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характеристики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запропонованого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товару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E54015" w14:textId="77777777" w:rsidR="00BB596D" w:rsidRPr="00884CBC" w:rsidRDefault="00BB596D" w:rsidP="00BB596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Відповідність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вимог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*</w:t>
                  </w:r>
                  <w:r w:rsidRPr="00884CB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*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Учасник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про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відповідність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запропонованого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товару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технічним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характеристикам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або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,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якщо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пропонується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еквівалент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товару – про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покращені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характеристики)</w:t>
                  </w:r>
                </w:p>
              </w:tc>
            </w:tr>
          </w:tbl>
          <w:p w14:paraId="674C5624" w14:textId="77777777" w:rsidR="00BB596D" w:rsidRPr="0012609E" w:rsidRDefault="00BB596D" w:rsidP="00BB59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76918801" w14:textId="77777777" w:rsidR="00BB596D" w:rsidRDefault="00BB596D" w:rsidP="00BB596D">
            <w:pPr>
              <w:tabs>
                <w:tab w:val="left" w:pos="2026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2.</w:t>
            </w:r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Інші </w:t>
            </w:r>
            <w:proofErr w:type="spellStart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вимоги</w:t>
            </w:r>
            <w:proofErr w:type="spellEnd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481B81E7" w14:textId="77777777" w:rsidR="00BB596D" w:rsidRPr="00C479D4" w:rsidRDefault="00BB596D" w:rsidP="00BB596D">
            <w:pPr>
              <w:rPr>
                <w:b/>
                <w:bCs/>
              </w:rPr>
            </w:pPr>
          </w:p>
          <w:p w14:paraId="6253585A" w14:textId="77777777" w:rsidR="00BB596D" w:rsidRPr="00C479D4" w:rsidRDefault="00BB596D" w:rsidP="00BB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47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транспортний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засіб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бути не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3 роки/100 000 км </w:t>
            </w:r>
          </w:p>
          <w:p w14:paraId="327161F1" w14:textId="77777777" w:rsidR="00BB596D" w:rsidRPr="00C479D4" w:rsidRDefault="00BB596D" w:rsidP="00BB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Гарантійний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починається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Сторонами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видаткової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накладної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на Товар та акту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приймання-передачі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товару.</w:t>
            </w:r>
          </w:p>
          <w:p w14:paraId="42C72DF2" w14:textId="77777777" w:rsidR="00BB596D" w:rsidRPr="00C479D4" w:rsidRDefault="00BB596D" w:rsidP="00BB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 </w:t>
            </w:r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Товар повинен бути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новим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бувшим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використанні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технічно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справним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комплектуючі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такі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не були у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вживанні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3A7D1F" w14:textId="77777777" w:rsidR="00BB596D" w:rsidRPr="00C479D4" w:rsidRDefault="00BB596D" w:rsidP="00BB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 </w:t>
            </w:r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Товар не повинен бути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заставою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арештом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DEF0CB" w14:textId="77777777" w:rsidR="00BB596D" w:rsidRPr="00C479D4" w:rsidRDefault="00BB596D" w:rsidP="00BB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2.5 </w:t>
            </w:r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Товар на момент поставки повинен бути укомплектований пакетом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необхідним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сервісному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центрі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МВС.</w:t>
            </w:r>
          </w:p>
          <w:p w14:paraId="07C87032" w14:textId="77777777" w:rsidR="00BB596D" w:rsidRPr="00C479D4" w:rsidRDefault="00BB596D" w:rsidP="00BB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2.6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Супутня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документація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повинна бути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виконана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мовою. У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оригінал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супутньої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складений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іншою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мовою,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обов’язково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супроводжуватись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автентичним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перекладом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мовою.</w:t>
            </w:r>
          </w:p>
          <w:p w14:paraId="705A6F41" w14:textId="086AA968" w:rsidR="00AB34E3" w:rsidRPr="00BB596D" w:rsidRDefault="00BB596D" w:rsidP="00BB59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2.7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Учасник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надати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документальне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підтвердження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офіційним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дилером/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дистриб’ютором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представником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товару на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дилерський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дистриб’юторський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договір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витяг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дилерського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дистриб’юторського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 xml:space="preserve"> дилера/ </w:t>
            </w:r>
            <w:proofErr w:type="spellStart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дистриб’ютора</w:t>
            </w:r>
            <w:proofErr w:type="spellEnd"/>
            <w:r w:rsidRPr="00C479D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7988F410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ібрано по 3 цінові пропозиції</w:t>
            </w:r>
            <w:r w:rsidR="00BB5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у потенційних постачальників.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Середня ринкова вартіст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ь </w:t>
            </w:r>
            <w:r w:rsidR="00BB5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за одну одиницю даного виду транспорту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була сформована на момент підготовки документів для участі в 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закупівлі</w:t>
            </w:r>
            <w:r w:rsidR="00F53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та 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</w:t>
            </w:r>
            <w:r w:rsidR="00BB59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1500000,00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46377637" w:rsidR="000358FC" w:rsidRPr="001F38B0" w:rsidRDefault="005915E8" w:rsidP="005915E8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BB59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3 000 000,00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грн (</w:t>
            </w:r>
            <w:r w:rsidR="00BB59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Три </w:t>
            </w:r>
            <w:proofErr w:type="spellStart"/>
            <w:r w:rsidR="00BB596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мілійони</w:t>
            </w:r>
            <w:proofErr w:type="spellEnd"/>
            <w:r w:rsidR="00F538B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грн 00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).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4B6FA47A" w:rsidR="000358FC" w:rsidRPr="00171BC7" w:rsidRDefault="00BB596D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 Прозоро. Зібрано по 3 цінові пропозиції у потенційних постачальників. Середня ринкова вартість за одну одиницю даного виду транспорту була сформована на момент підготовки документів для участі в закупівлі та </w:t>
            </w:r>
            <w:r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1500000,00</w:t>
            </w:r>
            <w:r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3"/>
  </w:num>
  <w:num w:numId="2" w16cid:durableId="83377980">
    <w:abstractNumId w:val="5"/>
  </w:num>
  <w:num w:numId="3" w16cid:durableId="810370922">
    <w:abstractNumId w:val="4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10315A"/>
    <w:rsid w:val="00150545"/>
    <w:rsid w:val="00171BC7"/>
    <w:rsid w:val="0018635D"/>
    <w:rsid w:val="001C61F2"/>
    <w:rsid w:val="001F38B0"/>
    <w:rsid w:val="002019C4"/>
    <w:rsid w:val="0025289C"/>
    <w:rsid w:val="0026284B"/>
    <w:rsid w:val="00352B90"/>
    <w:rsid w:val="00355CCB"/>
    <w:rsid w:val="004426EA"/>
    <w:rsid w:val="0044284E"/>
    <w:rsid w:val="0049725D"/>
    <w:rsid w:val="004A4670"/>
    <w:rsid w:val="0058607F"/>
    <w:rsid w:val="005915E8"/>
    <w:rsid w:val="00591833"/>
    <w:rsid w:val="005B418E"/>
    <w:rsid w:val="00625219"/>
    <w:rsid w:val="00634EFB"/>
    <w:rsid w:val="006A0513"/>
    <w:rsid w:val="006A6E84"/>
    <w:rsid w:val="006B7EC6"/>
    <w:rsid w:val="006F477D"/>
    <w:rsid w:val="00712111"/>
    <w:rsid w:val="00717D39"/>
    <w:rsid w:val="00770924"/>
    <w:rsid w:val="007B5C24"/>
    <w:rsid w:val="007C580F"/>
    <w:rsid w:val="007F33DC"/>
    <w:rsid w:val="008037ED"/>
    <w:rsid w:val="00811E02"/>
    <w:rsid w:val="00816BB6"/>
    <w:rsid w:val="00822182"/>
    <w:rsid w:val="0082219B"/>
    <w:rsid w:val="0083752D"/>
    <w:rsid w:val="00857673"/>
    <w:rsid w:val="008757BC"/>
    <w:rsid w:val="0097041E"/>
    <w:rsid w:val="00993632"/>
    <w:rsid w:val="009B6C17"/>
    <w:rsid w:val="009E27E4"/>
    <w:rsid w:val="009F4052"/>
    <w:rsid w:val="00A34818"/>
    <w:rsid w:val="00A82E10"/>
    <w:rsid w:val="00AA1048"/>
    <w:rsid w:val="00AA776E"/>
    <w:rsid w:val="00AB34E3"/>
    <w:rsid w:val="00AD31A7"/>
    <w:rsid w:val="00BA279F"/>
    <w:rsid w:val="00BB596D"/>
    <w:rsid w:val="00C16556"/>
    <w:rsid w:val="00C560C2"/>
    <w:rsid w:val="00C712FF"/>
    <w:rsid w:val="00D203C2"/>
    <w:rsid w:val="00D212AD"/>
    <w:rsid w:val="00D43B76"/>
    <w:rsid w:val="00D715EA"/>
    <w:rsid w:val="00E86C1B"/>
    <w:rsid w:val="00EE764F"/>
    <w:rsid w:val="00F31795"/>
    <w:rsid w:val="00F46719"/>
    <w:rsid w:val="00F5018C"/>
    <w:rsid w:val="00F538B3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,1. спис,Colorful List - Accent 11,Elenco Normale,FooterText,List Paragraph Char Char,List Paragraph.List 1.0,List Paragraph.List 1.01,List Paragraph.List 1.02,Normal Sentence,SGLText List Paragraph,b1"/>
    <w:basedOn w:val="a"/>
    <w:link w:val="aa"/>
    <w:uiPriority w:val="99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,1. спис Знак,Colorful List - Accent 11 Знак,Elenco Normale Знак,FooterText Знак,List Paragraph Char Char Знак,List Paragraph.List 1.0 Знак,List Paragraph.List 1.01 Знак,Steps Знак"/>
    <w:link w:val="a9"/>
    <w:uiPriority w:val="99"/>
    <w:qFormat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38B3"/>
    <w:rPr>
      <w:color w:val="605E5C"/>
      <w:shd w:val="clear" w:color="auto" w:fill="E1DFDD"/>
    </w:rPr>
  </w:style>
  <w:style w:type="paragraph" w:customStyle="1" w:styleId="ad">
    <w:name w:val="Ñîäåðæèìîå òàáëèöû"/>
    <w:basedOn w:val="a"/>
    <w:qFormat/>
    <w:rsid w:val="00F53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F538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ae">
    <w:name w:val="Знак Знак"/>
    <w:basedOn w:val="a"/>
    <w:rsid w:val="00F538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zakupivli.pro/cabinet/purchases/state_purchase/view/579898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1744-6E71-4F5A-BD7A-BA6B5A8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6</Pages>
  <Words>5655</Words>
  <Characters>3224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2025-03-12T10:29:00Z</cp:lastPrinted>
  <dcterms:created xsi:type="dcterms:W3CDTF">2022-07-25T09:06:00Z</dcterms:created>
  <dcterms:modified xsi:type="dcterms:W3CDTF">2025-03-12T10:29:00Z</dcterms:modified>
</cp:coreProperties>
</file>