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1660"/>
        <w:gridCol w:w="12807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559E6ABC" w:rsidR="000358FC" w:rsidRPr="003F297D" w:rsidRDefault="00F83560" w:rsidP="003F297D">
            <w:pPr>
              <w:widowControl w:val="0"/>
              <w:autoSpaceDE w:val="0"/>
              <w:autoSpaceDN w:val="0"/>
              <w:jc w:val="center"/>
              <w:rPr>
                <w:b/>
                <w:bCs/>
                <w:szCs w:val="28"/>
                <w:lang w:val="uk-UA"/>
              </w:rPr>
            </w:pPr>
            <w:hyperlink r:id="rId6" w:history="1"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Виносна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антена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AVENGER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Booster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2.4G/5.8G,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дводіапазонний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підсилювач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сигналу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або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еквівалент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ДК 021:2015:34740000-6Обладнання для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повітряних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і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космічних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літальних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апаратів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тренажери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,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симулятори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та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супутні</w:t>
              </w:r>
              <w:proofErr w:type="spellEnd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F83560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деталі</w:t>
              </w:r>
              <w:proofErr w:type="spellEnd"/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54B8D579" w:rsidR="000358FC" w:rsidRPr="00A34818" w:rsidRDefault="006B45BF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B45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UA-2025-03-21-002323-a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18F5DDF" w14:textId="77777777" w:rsidR="006B45BF" w:rsidRPr="00D57DB1" w:rsidRDefault="003F297D" w:rsidP="006B4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  <w:proofErr w:type="spellStart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</w:t>
            </w:r>
            <w:proofErr w:type="spellEnd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B45BF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="006B45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B45B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="006B45BF"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45BF"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="006B45BF"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 w:rsidR="006B45BF"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44110070" w14:textId="77777777" w:rsidR="006B45BF" w:rsidRPr="00D57DB1" w:rsidRDefault="006B45BF" w:rsidP="006B4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01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05.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5B4AAD04" w14:textId="77777777" w:rsidR="006B45BF" w:rsidRPr="00D57DB1" w:rsidRDefault="006B45BF" w:rsidP="006B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комплекта.</w:t>
            </w:r>
          </w:p>
          <w:p w14:paraId="5ADC549C" w14:textId="77777777" w:rsidR="006B45BF" w:rsidRPr="00D57DB1" w:rsidRDefault="006B45BF" w:rsidP="006B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Товар повинен бути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готовим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6BC90" w14:textId="77777777" w:rsidR="006B45BF" w:rsidRPr="00D57DB1" w:rsidRDefault="006B45BF" w:rsidP="006B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CBCA1" w14:textId="77777777" w:rsidR="006B45BF" w:rsidRPr="00110095" w:rsidRDefault="006B45BF" w:rsidP="006B45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Закупівля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для потреб ЗСУ.</w:t>
            </w:r>
            <w:r w:rsidRPr="00BD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3 постанови КМУ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2022 р. № 1178 "Про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особливостей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“Про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публічні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”,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стану в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 дня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припинення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скасування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пункту 6-1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X “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Прикінцеві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перехідні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” Закону не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застосовуються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товару для потреб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Збройних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Сил,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військових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формувань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правоохоронних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запит з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подальшою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передачею таких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запитувача</w:t>
            </w:r>
            <w:proofErr w:type="spellEnd"/>
            <w:r w:rsidRPr="00110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FD1793" w14:textId="77777777" w:rsidR="006B45BF" w:rsidRDefault="006B45BF" w:rsidP="006B45BF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Обґрунтування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посилання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конкретного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виробника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тип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конкретну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модель/марку товару є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необхідним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оскільки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якісними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технічними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характеристиками товар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цієї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компанії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є таким,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максимально точно та оптимально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відповідає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вимогам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потребам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замовника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отриманого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запиту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щодо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потреби.</w:t>
            </w:r>
          </w:p>
          <w:p w14:paraId="077E26E4" w14:textId="77777777" w:rsidR="006B45BF" w:rsidRDefault="006B45BF" w:rsidP="006B45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DA6AD0E" w14:textId="77777777" w:rsidR="006B45BF" w:rsidRDefault="006B45BF" w:rsidP="006B45BF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4E49BCB7" w14:textId="77777777" w:rsidR="006B45BF" w:rsidRDefault="006B45BF" w:rsidP="006B45BF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2"/>
              <w:gridCol w:w="1681"/>
              <w:gridCol w:w="7216"/>
              <w:gridCol w:w="1004"/>
              <w:gridCol w:w="910"/>
              <w:gridCol w:w="1164"/>
            </w:tblGrid>
            <w:tr w:rsidR="006B45BF" w:rsidRPr="0057258A" w14:paraId="7F3F9A31" w14:textId="77777777" w:rsidTr="007152F5">
              <w:trPr>
                <w:trHeight w:val="1226"/>
                <w:jc w:val="center"/>
              </w:trPr>
              <w:tc>
                <w:tcPr>
                  <w:tcW w:w="279" w:type="dxa"/>
                </w:tcPr>
                <w:p w14:paraId="7DD98F05" w14:textId="77777777" w:rsidR="006B45BF" w:rsidRPr="0057258A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984" w:type="dxa"/>
                </w:tcPr>
                <w:p w14:paraId="1E50AB27" w14:textId="77777777" w:rsidR="006B45BF" w:rsidRPr="0057258A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6237" w:type="dxa"/>
                </w:tcPr>
                <w:p w14:paraId="17C2C638" w14:textId="77777777" w:rsidR="006B45BF" w:rsidRPr="0057258A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263B1E06" w14:textId="77777777" w:rsidR="006B45BF" w:rsidRPr="0057258A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44FB9130" w14:textId="77777777" w:rsidR="006B45BF" w:rsidRPr="0057258A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76" w:type="dxa"/>
                </w:tcPr>
                <w:p w14:paraId="01FDC372" w14:textId="77777777" w:rsidR="006B45BF" w:rsidRPr="0057258A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6B45BF" w:rsidRPr="0057258A" w14:paraId="3A091247" w14:textId="77777777" w:rsidTr="007152F5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460B4955" w14:textId="77777777" w:rsidR="006B45BF" w:rsidRPr="00316EC3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B45BF" w:rsidRPr="0057258A" w14:paraId="6F257FA3" w14:textId="77777777" w:rsidTr="007152F5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279" w:type="dxa"/>
                  <w:shd w:val="clear" w:color="auto" w:fill="auto"/>
                  <w:vAlign w:val="center"/>
                </w:tcPr>
                <w:p w14:paraId="090F03D0" w14:textId="77777777" w:rsidR="006B45BF" w:rsidRPr="0057258A" w:rsidRDefault="006B45BF" w:rsidP="006B45BF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0120A1F" w14:textId="77777777" w:rsidR="006B45BF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Виносна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антена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AVENGER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Booster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2.4G/5.8G,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дводіапазонний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підсилюва</w:t>
                  </w:r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ч</w:t>
                  </w:r>
                  <w:proofErr w:type="spellEnd"/>
                  <w:r w:rsidRPr="006D49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сигналу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або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еквівалент</w:t>
                  </w:r>
                  <w:proofErr w:type="spellEnd"/>
                </w:p>
                <w:p w14:paraId="6F1B0CA5" w14:textId="77777777" w:rsidR="006B45BF" w:rsidRPr="006A6E0F" w:rsidRDefault="006B45BF" w:rsidP="006B45BF">
                  <w:pPr>
                    <w:pStyle w:val="Default"/>
                  </w:pP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tbl>
                  <w:tblPr>
                    <w:tblW w:w="935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021"/>
                    <w:gridCol w:w="7330"/>
                  </w:tblGrid>
                  <w:tr w:rsidR="006B45BF" w14:paraId="2FA089B3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BC0F76B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Посилення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антени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4E0D036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t>2.4G15dBi(+-1) 5.8G18dBi(+-1)</w:t>
                        </w:r>
                      </w:p>
                    </w:tc>
                  </w:tr>
                  <w:tr w:rsidR="006B45BF" w14:paraId="43ACA131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CCF68F3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Вихідна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потужність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BFA12B5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t>10W(40dBm)x2</w:t>
                        </w:r>
                      </w:p>
                    </w:tc>
                  </w:tr>
                  <w:tr w:rsidR="006B45BF" w14:paraId="78EF2171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0B09CF5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Коефіцієнт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передачі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28239C6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t xml:space="preserve">18~20dB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або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20~22dB</w:t>
                        </w:r>
                      </w:p>
                    </w:tc>
                  </w:tr>
                  <w:tr w:rsidR="006B45BF" w14:paraId="6A6064E9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8E2D4F4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Коефіцієнт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шуму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1105382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≤2,5dB</w:t>
                        </w:r>
                      </w:p>
                    </w:tc>
                  </w:tr>
                  <w:tr w:rsidR="006B45BF" w14:paraId="5595C3D4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F0C31D0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Кути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роботи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1DFBE78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горизонтально 65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градусів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, </w:t>
                        </w:r>
                      </w:p>
                      <w:p w14:paraId="5F9AED7D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вертикально 20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градусів</w:t>
                        </w:r>
                        <w:proofErr w:type="spellEnd"/>
                      </w:p>
                    </w:tc>
                  </w:tr>
                  <w:tr w:rsidR="006B45BF" w14:paraId="46D5DD52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D8679AC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Підтримувані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lastRenderedPageBreak/>
                          <w:t>напруги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AF6BDA2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lastRenderedPageBreak/>
                          <w:t>6-12V</w:t>
                        </w:r>
                      </w:p>
                    </w:tc>
                  </w:tr>
                  <w:tr w:rsidR="006B45BF" w14:paraId="26E9892F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5987B18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Напруга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та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ємність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акумулятора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5B6F534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t>7.4V 5000mAh</w:t>
                        </w:r>
                      </w:p>
                    </w:tc>
                  </w:tr>
                  <w:tr w:rsidR="006B45BF" w14:paraId="16C53300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84099E0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Тип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роз'єму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15C235C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t>N-K Female</w:t>
                        </w:r>
                      </w:p>
                    </w:tc>
                  </w:tr>
                  <w:tr w:rsidR="006B45BF" w14:paraId="3F912CA9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64251C8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Безперервна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робота (не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94823C5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12 </w:t>
                        </w: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годин</w:t>
                        </w:r>
                      </w:p>
                    </w:tc>
                  </w:tr>
                  <w:tr w:rsidR="006B45BF" w14:paraId="18C4F7DB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F6B1F0B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Захист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корпусу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0B92C610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Водонепроникний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корпус IPX68</w:t>
                        </w:r>
                      </w:p>
                    </w:tc>
                  </w:tr>
                  <w:tr w:rsidR="006B45BF" w14:paraId="124DA647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57654E32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Антенний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кабель RG-8 QMA ,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довжина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6475B27F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</w:pPr>
                        <w:r w:rsidRPr="006B45BF">
                          <w:t>20 м</w:t>
                        </w:r>
                      </w:p>
                    </w:tc>
                  </w:tr>
                  <w:tr w:rsidR="006B45BF" w14:paraId="63BC3EA7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7F0BA19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Роз’єм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кабеля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92035C8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t>N-Type- QMA</w:t>
                        </w:r>
                      </w:p>
                    </w:tc>
                  </w:tr>
                  <w:tr w:rsidR="006B45BF" w14:paraId="17BCB3C4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47BC7664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Гарантійний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термін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2416BF7C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Не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менше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</w:rPr>
                          <w:t xml:space="preserve"> 12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</w:rPr>
                          <w:t>місяців</w:t>
                        </w:r>
                        <w:proofErr w:type="spellEnd"/>
                      </w:p>
                    </w:tc>
                  </w:tr>
                  <w:tr w:rsidR="006B45BF" w14:paraId="1C01E7C5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D493720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Сумісна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модель</w:t>
                        </w:r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3CD4A70F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Універсальна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DJI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Mavic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</w:t>
                        </w:r>
                      </w:p>
                      <w:p w14:paraId="4519BB86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DJI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matrice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AUTEL, </w:t>
                        </w:r>
                      </w:p>
                      <w:p w14:paraId="073BCBB1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FPV-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дрони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відповідної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частоти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6B45BF" w14:paraId="684EED16" w14:textId="77777777" w:rsidTr="007152F5">
                    <w:trPr>
                      <w:trHeight w:val="320"/>
                    </w:trPr>
                    <w:tc>
                      <w:tcPr>
                        <w:tcW w:w="2021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10253953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Комплектація</w:t>
                        </w:r>
                        <w:proofErr w:type="spellEnd"/>
                      </w:p>
                    </w:tc>
                    <w:tc>
                      <w:tcPr>
                        <w:tcW w:w="7330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000000" w:fill="FFFFFF"/>
                      </w:tcPr>
                      <w:p w14:paraId="7F14E6F0" w14:textId="77777777" w:rsidR="006B45BF" w:rsidRPr="004A204E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</w:t>
                        </w:r>
                        <w:proofErr w:type="spellStart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>Виносна</w:t>
                        </w:r>
                        <w:proofErr w:type="spellEnd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>антена</w:t>
                        </w:r>
                        <w:proofErr w:type="spellEnd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AVENGER</w:t>
                        </w:r>
                      </w:p>
                      <w:p w14:paraId="5FEC7175" w14:textId="77777777" w:rsid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lang w:val="en-US"/>
                          </w:rPr>
                        </w:pPr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>Booster</w:t>
                        </w:r>
                        <w:proofErr w:type="spellEnd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2.4G/5.8G, </w:t>
                        </w:r>
                      </w:p>
                      <w:p w14:paraId="0CC9817B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>дводіапазонний</w:t>
                        </w:r>
                        <w:proofErr w:type="spellEnd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>підсилювач</w:t>
                        </w:r>
                        <w:proofErr w:type="spellEnd"/>
                        <w:r w:rsidRPr="006436F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  <w:r w:rsidRPr="004A204E">
                          <w:rPr>
                            <w:rFonts w:ascii="Times New Roman" w:hAnsi="Times New Roman" w:cs="Times New Roman"/>
                            <w:color w:val="000000"/>
                          </w:rPr>
                          <w:t>сигналу</w:t>
                        </w:r>
                      </w:p>
                      <w:p w14:paraId="2978F558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- 1х Адаптер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живлення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12V 2А; </w:t>
                        </w:r>
                      </w:p>
                      <w:p w14:paraId="20690A83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- 2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кабелі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RG</w:t>
                        </w: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-8 </w:t>
                        </w: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подовжувачі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78C4F963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довжиною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20м</w:t>
                        </w:r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</w:p>
                      <w:p w14:paraId="37A034D7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роз’єм</w:t>
                        </w:r>
                        <w:proofErr w:type="spellEnd"/>
                        <w:r w:rsidRPr="006B45B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B45BF">
                          <w:rPr>
                            <w:rFonts w:ascii="Times New Roman" w:hAnsi="Times New Roman" w:cs="Times New Roman"/>
                            <w:lang w:val="en-US"/>
                          </w:rPr>
                          <w:t>N-Type- QMA</w:t>
                        </w:r>
                      </w:p>
                      <w:p w14:paraId="1817E8E9" w14:textId="77777777" w:rsidR="006B45BF" w:rsidRPr="006B45BF" w:rsidRDefault="006B45BF" w:rsidP="006B45BF">
                        <w:pPr>
                          <w:suppressAutoHyphens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lang w:val="en-US"/>
                          </w:rPr>
                        </w:pPr>
                      </w:p>
                    </w:tc>
                  </w:tr>
                </w:tbl>
                <w:p w14:paraId="36EA58E8" w14:textId="77777777" w:rsidR="006B45BF" w:rsidRPr="00A85E08" w:rsidRDefault="006B45BF" w:rsidP="006B45BF">
                  <w:pPr>
                    <w:spacing w:after="0" w:line="240" w:lineRule="auto"/>
                  </w:pPr>
                </w:p>
              </w:tc>
              <w:tc>
                <w:tcPr>
                  <w:tcW w:w="567" w:type="dxa"/>
                  <w:vAlign w:val="center"/>
                </w:tcPr>
                <w:p w14:paraId="5761960B" w14:textId="77777777" w:rsidR="006B45BF" w:rsidRPr="000F0320" w:rsidRDefault="006B45BF" w:rsidP="006B45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 комплекта</w:t>
                  </w:r>
                </w:p>
              </w:tc>
              <w:tc>
                <w:tcPr>
                  <w:tcW w:w="851" w:type="dxa"/>
                </w:tcPr>
                <w:p w14:paraId="55C61510" w14:textId="77777777" w:rsidR="006B45BF" w:rsidRDefault="006B45BF" w:rsidP="006B45B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</w:t>
                  </w:r>
                </w:p>
                <w:p w14:paraId="2B22E453" w14:textId="77777777" w:rsidR="006B45BF" w:rsidRPr="0057258A" w:rsidRDefault="006B45BF" w:rsidP="006B45B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9E1200" w14:textId="77777777" w:rsidR="006B45BF" w:rsidRPr="0057258A" w:rsidRDefault="006B45BF" w:rsidP="006B45B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</w:t>
                  </w:r>
                </w:p>
              </w:tc>
            </w:tr>
          </w:tbl>
          <w:p w14:paraId="5372F8EE" w14:textId="0C9E70F3" w:rsidR="006B45BF" w:rsidRDefault="006B45BF" w:rsidP="00F8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37BE6BCF" w14:textId="5DAD1106" w:rsidR="00F83560" w:rsidRPr="00194F08" w:rsidRDefault="00F83560" w:rsidP="00F8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1F3AC7A2" w14:textId="77777777" w:rsidR="00F83560" w:rsidRPr="00194F08" w:rsidRDefault="00F83560" w:rsidP="00F83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2D095DC1" w14:textId="77777777" w:rsidR="00F83560" w:rsidRDefault="00F83560" w:rsidP="00F83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B5E8F07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55A1D82F" w14:textId="77777777" w:rsidR="00F83560" w:rsidRDefault="00F83560" w:rsidP="00F83560">
            <w:pPr>
              <w:shd w:val="clear" w:color="auto" w:fill="FFFFFF"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12609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Учасник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наданні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своєї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пропонує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то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він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додатково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складі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порівняльну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>аблицю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відповідності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запропонованого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технічним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60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У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випадку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Учасником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зазначено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назву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товару, яка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містити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словосполучення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пропозицію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такого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учасника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буде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відхилено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таку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відповідає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специфікації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іншим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вимогам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щодо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предмета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тендерної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14:paraId="3CEF5858" w14:textId="77777777" w:rsidR="00F83560" w:rsidRPr="0012609E" w:rsidRDefault="00F83560" w:rsidP="00F83560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1CF692" w14:textId="77777777" w:rsidR="00F83560" w:rsidRPr="00884CBC" w:rsidRDefault="00F83560" w:rsidP="00F83560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Таблиця</w:t>
            </w:r>
            <w:proofErr w:type="spellEnd"/>
            <w:r w:rsidRPr="00F917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044"/>
              <w:gridCol w:w="2776"/>
              <w:gridCol w:w="2835"/>
            </w:tblGrid>
            <w:tr w:rsidR="00F83560" w:rsidRPr="00E228DB" w14:paraId="732CE92B" w14:textId="77777777" w:rsidTr="0067679F">
              <w:trPr>
                <w:trHeight w:val="2724"/>
              </w:trPr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C0746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технічної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характеристики товару</w:t>
                  </w:r>
                </w:p>
                <w:p w14:paraId="4B1FBFCD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1C0DFE3C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5FDEF759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07C3E9FA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3CABB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 характеристики,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які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вимагаються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Заявником</w:t>
                  </w:r>
                  <w:proofErr w:type="spellEnd"/>
                </w:p>
                <w:p w14:paraId="00B5102D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3D3A3038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  <w:p w14:paraId="7C58A2B6" w14:textId="77777777" w:rsidR="00F83560" w:rsidRPr="00884CBC" w:rsidRDefault="00F83560" w:rsidP="00F83560">
                  <w:pPr>
                    <w:shd w:val="clear" w:color="auto" w:fill="FFFFFF"/>
                    <w:spacing w:after="0" w:line="240" w:lineRule="auto"/>
                    <w:outlineLvl w:val="1"/>
                    <w:rPr>
                      <w:rFonts w:ascii="Times New Roman" w:eastAsia="Times New Roman" w:hAnsi="Times New Roman"/>
                      <w:b/>
                      <w:bCs/>
                      <w:caps/>
                      <w:spacing w:val="5"/>
                      <w:sz w:val="24"/>
                      <w:szCs w:val="24"/>
                    </w:rPr>
                  </w:pPr>
                </w:p>
              </w:tc>
              <w:tc>
                <w:tcPr>
                  <w:tcW w:w="2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70D0F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Пропозиція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учасника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>(*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торгову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марку,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конкретну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модель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запропонованого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товару та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найменування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його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із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зазначенням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країни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виробника</w:t>
                  </w:r>
                  <w:proofErr w:type="spellEnd"/>
                  <w:r w:rsidRPr="0016162B">
                    <w:rPr>
                      <w:rFonts w:ascii="Times New Roman" w:eastAsia="Times New Roman" w:hAnsi="Times New Roman"/>
                      <w:b/>
                      <w:bCs/>
                      <w:i/>
                      <w:u w:val="single"/>
                    </w:rPr>
                    <w:t>,</w:t>
                  </w:r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та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товару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6CFCD9" w14:textId="77777777" w:rsidR="00F83560" w:rsidRPr="00884CBC" w:rsidRDefault="00F83560" w:rsidP="00F83560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caps/>
                      <w:spacing w:val="5"/>
                      <w:sz w:val="24"/>
                      <w:szCs w:val="24"/>
                    </w:rPr>
                  </w:pP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вимог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*</w:t>
                  </w:r>
                  <w:r w:rsidRPr="00884CB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 </w:t>
                  </w:r>
                  <w:r w:rsidRPr="00884CBC">
                    <w:rPr>
                      <w:rFonts w:ascii="Times New Roman" w:eastAsia="Times New Roman" w:hAnsi="Times New Roman"/>
                      <w:i/>
                      <w:sz w:val="24"/>
                      <w:szCs w:val="24"/>
                    </w:rPr>
                    <w:t xml:space="preserve">    (*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Учасник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зазначає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відповідність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запропонованого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технічним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характеристикам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або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,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якщо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пропонується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еквівалент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товару – про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запропоновані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покращені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</w:t>
                  </w:r>
                  <w:proofErr w:type="spellStart"/>
                  <w:r w:rsidRPr="00884CBC">
                    <w:rPr>
                      <w:rFonts w:ascii="Times New Roman" w:eastAsia="Times New Roman" w:hAnsi="Times New Roman"/>
                      <w:i/>
                    </w:rPr>
                    <w:t>технічні</w:t>
                  </w:r>
                  <w:proofErr w:type="spellEnd"/>
                  <w:r w:rsidRPr="00884CBC">
                    <w:rPr>
                      <w:rFonts w:ascii="Times New Roman" w:eastAsia="Times New Roman" w:hAnsi="Times New Roman"/>
                      <w:i/>
                    </w:rPr>
                    <w:t xml:space="preserve"> характеристики)</w:t>
                  </w:r>
                </w:p>
              </w:tc>
            </w:tr>
          </w:tbl>
          <w:p w14:paraId="1CFA1CBF" w14:textId="77777777" w:rsidR="00F83560" w:rsidRPr="00AA0CEB" w:rsidRDefault="00F83560" w:rsidP="00F83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до предмету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  <w:p w14:paraId="422D8442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1. Товар предмету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новим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внутрішніх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пошкоджень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Поставлятися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відповідній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тарі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пакуванні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вимогам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чинного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законодавства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цілісність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вигляд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а також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Товар повинен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упакований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належним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чином,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збереження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перевезенні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зберіганні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Упаковка не повинна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зовнішніх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пошкоджень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забруднень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їх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усунення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повинна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перевезення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вантажно-розвантажувальних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роботах. Товар (упаковка)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містити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маркування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яке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змогу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ідентифікувати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встановити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та дату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Етикетки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упаковці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непошкодженими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чіткі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надписи.</w:t>
            </w:r>
          </w:p>
          <w:p w14:paraId="6737ACA5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DE71985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строк на товар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становити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менше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12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місяців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замовником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підписання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видаткової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накладної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повинен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довідку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довільній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формі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зазначенням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терміну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гарантійного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пропонується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05CAEC85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54E05EB1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3. При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поданні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поставці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обов’язково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копії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підтверджують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безпечність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товару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посвідчення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сертифікат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якості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декларація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паспорт товару),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чинним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українській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мові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перекладом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українську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мову.</w:t>
            </w:r>
          </w:p>
          <w:p w14:paraId="3E9D84DE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3BFF06F3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4. Поставка товару повинна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супроводжуватися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видатковою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накладною,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супутньою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документацією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(паспорт (формуляр),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посібник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користувача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настанова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експлуатування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документи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).</w:t>
            </w:r>
          </w:p>
          <w:p w14:paraId="41BA6B00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7A7A6DC" w14:textId="77777777" w:rsidR="00F83560" w:rsidRPr="00AA0CEB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5.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Транспортування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(доставка),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розвантаження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навантаження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/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заніс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приміщення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будь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який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поверх,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пов'язані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цим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пакування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необхідні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витратні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матеріали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додаткові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інструменти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приладдя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забезпечуються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рахунок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переможця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65B900D0" w14:textId="77777777" w:rsid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056122ED" w14:textId="2464DF8F" w:rsidR="00F83560" w:rsidRPr="00F83560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6. Не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приймаються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розгляду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товар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Федерації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Білорусь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Ісламської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Іран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винятком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походженням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Російської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Федерації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Республіки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Білорусь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необхідних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для ремонту та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товарів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придбаних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набрання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чинності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Особливостями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На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підтвердження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даної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учасник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складі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тендерної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пропозиції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надає</w:t>
            </w:r>
            <w:proofErr w:type="spellEnd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гарантійн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лист.</w:t>
            </w:r>
          </w:p>
          <w:p w14:paraId="7A859F22" w14:textId="77777777" w:rsidR="00F83560" w:rsidRPr="0012609E" w:rsidRDefault="00F83560" w:rsidP="00F835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C48C55A" w14:textId="16986895" w:rsidR="00F538B3" w:rsidRPr="00F83560" w:rsidRDefault="00F538B3" w:rsidP="00F8356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05A6F41" w14:textId="6EEEB773" w:rsidR="00AB34E3" w:rsidRPr="008037ED" w:rsidRDefault="00AB34E3" w:rsidP="00F53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5915E5C4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ь</w:t>
            </w:r>
            <w:r w:rsidR="006B4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у відкритих  даних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6B4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F835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F2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59EEF76C" w:rsidR="000358FC" w:rsidRPr="001F38B0" w:rsidRDefault="005915E8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8356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</w:t>
            </w:r>
            <w:r w:rsidR="006B45B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70</w:t>
            </w:r>
            <w:r w:rsidR="00F8356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F297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000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,00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грн (</w:t>
            </w:r>
            <w:r w:rsidR="00F8356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Двісті </w:t>
            </w:r>
            <w:r w:rsidR="006B45B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сімдесят</w:t>
            </w:r>
            <w:r w:rsidR="003F297D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816BB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F538B3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6B45BF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без ПДВ.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24562919" w:rsidR="000358FC" w:rsidRPr="00171BC7" w:rsidRDefault="006A0513" w:rsidP="006B45BF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lastRenderedPageBreak/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26362"/>
    <w:rsid w:val="0025289C"/>
    <w:rsid w:val="0026284B"/>
    <w:rsid w:val="00352B90"/>
    <w:rsid w:val="00355CCB"/>
    <w:rsid w:val="003F297D"/>
    <w:rsid w:val="004426EA"/>
    <w:rsid w:val="0044284E"/>
    <w:rsid w:val="0049725D"/>
    <w:rsid w:val="004A4670"/>
    <w:rsid w:val="0058607F"/>
    <w:rsid w:val="005915E8"/>
    <w:rsid w:val="00591833"/>
    <w:rsid w:val="005B418E"/>
    <w:rsid w:val="00625219"/>
    <w:rsid w:val="00634EFB"/>
    <w:rsid w:val="006A0513"/>
    <w:rsid w:val="006A6E84"/>
    <w:rsid w:val="006B45BF"/>
    <w:rsid w:val="006B7EC6"/>
    <w:rsid w:val="006E6634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752D"/>
    <w:rsid w:val="00857673"/>
    <w:rsid w:val="00860267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38B3"/>
    <w:rsid w:val="00F83560"/>
    <w:rsid w:val="00FC7E8D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579895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5715</Words>
  <Characters>3258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2025-03-12T10:15:00Z</cp:lastPrinted>
  <dcterms:created xsi:type="dcterms:W3CDTF">2022-07-25T09:06:00Z</dcterms:created>
  <dcterms:modified xsi:type="dcterms:W3CDTF">2025-03-21T08:24:00Z</dcterms:modified>
</cp:coreProperties>
</file>