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D6" w:rsidRPr="007977D6" w:rsidRDefault="007977D6" w:rsidP="007977D6">
      <w:pPr>
        <w:spacing w:before="100" w:beforeAutospacing="1" w:after="100" w:afterAutospacing="1" w:line="375" w:lineRule="atLeast"/>
        <w:ind w:left="360"/>
        <w:jc w:val="center"/>
        <w:rPr>
          <w:rFonts w:ascii="Ubuntu" w:eastAsia="Times New Roman" w:hAnsi="Ubuntu" w:cs="Arial"/>
          <w:color w:val="424242"/>
          <w:sz w:val="27"/>
          <w:szCs w:val="27"/>
          <w:lang w:eastAsia="uk-UA"/>
        </w:rPr>
      </w:pPr>
      <w:r>
        <w:rPr>
          <w:rFonts w:ascii="Ubuntu" w:eastAsia="Times New Roman" w:hAnsi="Ubuntu" w:cs="Arial"/>
          <w:b/>
          <w:bCs/>
          <w:color w:val="424242"/>
          <w:sz w:val="27"/>
          <w:szCs w:val="27"/>
          <w:lang w:eastAsia="uk-UA"/>
        </w:rPr>
        <w:t>Декларацію якого типу необхідно</w:t>
      </w:r>
      <w:r w:rsidRPr="007977D6">
        <w:rPr>
          <w:rFonts w:ascii="Ubuntu" w:eastAsia="Times New Roman" w:hAnsi="Ubuntu" w:cs="Arial"/>
          <w:b/>
          <w:bCs/>
          <w:color w:val="424242"/>
          <w:sz w:val="27"/>
          <w:szCs w:val="27"/>
          <w:lang w:eastAsia="uk-UA"/>
        </w:rPr>
        <w:t xml:space="preserve"> заповнити?</w:t>
      </w:r>
    </w:p>
    <w:p w:rsidR="007977D6" w:rsidRPr="007977D6" w:rsidRDefault="007977D6" w:rsidP="007977D6">
      <w:pPr>
        <w:spacing w:after="210" w:line="375" w:lineRule="atLeast"/>
        <w:rPr>
          <w:rFonts w:ascii="Ubuntu" w:eastAsia="Times New Roman" w:hAnsi="Ubuntu" w:cs="Times New Roman"/>
          <w:color w:val="424242"/>
          <w:sz w:val="27"/>
          <w:szCs w:val="27"/>
          <w:lang w:eastAsia="uk-UA"/>
        </w:rPr>
      </w:pPr>
      <w:r w:rsidRPr="007977D6">
        <w:rPr>
          <w:rFonts w:ascii="Ubuntu" w:eastAsia="Times New Roman" w:hAnsi="Ubuntu" w:cs="Times New Roman"/>
          <w:color w:val="424242"/>
          <w:sz w:val="27"/>
          <w:szCs w:val="27"/>
          <w:lang w:eastAsia="uk-UA"/>
        </w:rPr>
        <w:t>Загалом є  4 типи декларацій. </w:t>
      </w:r>
      <w:bookmarkStart w:id="0" w:name="_GoBack"/>
      <w:bookmarkEnd w:id="0"/>
    </w:p>
    <w:p w:rsidR="007977D6" w:rsidRPr="007977D6" w:rsidRDefault="007977D6" w:rsidP="007977D6">
      <w:pPr>
        <w:numPr>
          <w:ilvl w:val="0"/>
          <w:numId w:val="2"/>
        </w:numPr>
        <w:spacing w:before="100" w:beforeAutospacing="1" w:after="100" w:afterAutospacing="1" w:line="375" w:lineRule="atLeast"/>
        <w:ind w:left="0"/>
        <w:rPr>
          <w:rFonts w:ascii="Ubuntu" w:eastAsia="Times New Roman" w:hAnsi="Ubuntu" w:cs="Times New Roman"/>
          <w:color w:val="424242"/>
          <w:sz w:val="27"/>
          <w:szCs w:val="27"/>
          <w:lang w:eastAsia="uk-UA"/>
        </w:rPr>
      </w:pPr>
      <w:r w:rsidRPr="007977D6">
        <w:rPr>
          <w:rFonts w:ascii="Ubuntu" w:eastAsia="Times New Roman" w:hAnsi="Ubuntu" w:cs="Times New Roman"/>
          <w:b/>
          <w:bCs/>
          <w:color w:val="424242"/>
          <w:sz w:val="27"/>
          <w:szCs w:val="27"/>
          <w:lang w:eastAsia="uk-UA"/>
        </w:rPr>
        <w:t>щорічна декларація </w:t>
      </w:r>
      <w:r w:rsidRPr="007977D6">
        <w:rPr>
          <w:rFonts w:ascii="Ubuntu" w:eastAsia="Times New Roman" w:hAnsi="Ubuntu" w:cs="Times New Roman"/>
          <w:color w:val="424242"/>
          <w:sz w:val="27"/>
          <w:szCs w:val="27"/>
          <w:lang w:eastAsia="uk-UA"/>
        </w:rPr>
        <w:t>подається з 1 січня до 31 березня та охоплює весь минулий рік. </w:t>
      </w:r>
    </w:p>
    <w:p w:rsidR="007977D6" w:rsidRPr="007977D6" w:rsidRDefault="007977D6" w:rsidP="007977D6">
      <w:pPr>
        <w:numPr>
          <w:ilvl w:val="0"/>
          <w:numId w:val="2"/>
        </w:numPr>
        <w:spacing w:before="100" w:beforeAutospacing="1" w:after="100" w:afterAutospacing="1" w:line="375" w:lineRule="atLeast"/>
        <w:ind w:left="0"/>
        <w:rPr>
          <w:rFonts w:ascii="Ubuntu" w:eastAsia="Times New Roman" w:hAnsi="Ubuntu" w:cs="Times New Roman"/>
          <w:color w:val="424242"/>
          <w:sz w:val="27"/>
          <w:szCs w:val="27"/>
          <w:lang w:eastAsia="uk-UA"/>
        </w:rPr>
      </w:pPr>
      <w:r w:rsidRPr="007977D6">
        <w:rPr>
          <w:rFonts w:ascii="Ubuntu" w:eastAsia="Times New Roman" w:hAnsi="Ubuntu" w:cs="Times New Roman"/>
          <w:b/>
          <w:bCs/>
          <w:color w:val="424242"/>
          <w:sz w:val="27"/>
          <w:szCs w:val="27"/>
          <w:lang w:eastAsia="uk-UA"/>
        </w:rPr>
        <w:t>декларація «перед звільненням» </w:t>
      </w:r>
      <w:r w:rsidRPr="007977D6">
        <w:rPr>
          <w:rFonts w:ascii="Ubuntu" w:eastAsia="Times New Roman" w:hAnsi="Ubuntu" w:cs="Times New Roman"/>
          <w:color w:val="424242"/>
          <w:sz w:val="27"/>
          <w:szCs w:val="27"/>
          <w:lang w:eastAsia="uk-UA"/>
        </w:rPr>
        <w:t>подається не пізніше 20 робочих днів з дня припинення діяльності публічного службовця і охоплює період, який не охоплений раніше поданими деклараціями.</w:t>
      </w:r>
    </w:p>
    <w:p w:rsidR="007977D6" w:rsidRPr="007977D6" w:rsidRDefault="007977D6" w:rsidP="007977D6">
      <w:pPr>
        <w:numPr>
          <w:ilvl w:val="0"/>
          <w:numId w:val="2"/>
        </w:numPr>
        <w:spacing w:before="100" w:beforeAutospacing="1" w:after="100" w:afterAutospacing="1" w:line="375" w:lineRule="atLeast"/>
        <w:ind w:left="0"/>
        <w:rPr>
          <w:rFonts w:ascii="Ubuntu" w:eastAsia="Times New Roman" w:hAnsi="Ubuntu" w:cs="Times New Roman"/>
          <w:color w:val="424242"/>
          <w:sz w:val="27"/>
          <w:szCs w:val="27"/>
          <w:lang w:eastAsia="uk-UA"/>
        </w:rPr>
      </w:pPr>
      <w:r w:rsidRPr="007977D6">
        <w:rPr>
          <w:rFonts w:ascii="Ubuntu" w:eastAsia="Times New Roman" w:hAnsi="Ubuntu" w:cs="Times New Roman"/>
          <w:b/>
          <w:bCs/>
          <w:color w:val="424242"/>
          <w:sz w:val="27"/>
          <w:szCs w:val="27"/>
          <w:lang w:eastAsia="uk-UA"/>
        </w:rPr>
        <w:t>декларація «після звільнення» </w:t>
      </w:r>
      <w:r w:rsidRPr="007977D6">
        <w:rPr>
          <w:rFonts w:ascii="Ubuntu" w:eastAsia="Times New Roman" w:hAnsi="Ubuntu" w:cs="Times New Roman"/>
          <w:color w:val="424242"/>
          <w:sz w:val="27"/>
          <w:szCs w:val="27"/>
          <w:lang w:eastAsia="uk-UA"/>
        </w:rPr>
        <w:t>подається з 1 січня до  31 березня року, наступного за роком, у якому було припинено діяльність. Охоплює весь рік (з 01 січня до 31 грудня включно), в якому було припинено діяльність. </w:t>
      </w:r>
    </w:p>
    <w:p w:rsidR="007977D6" w:rsidRPr="007977D6" w:rsidRDefault="007977D6" w:rsidP="007977D6">
      <w:pPr>
        <w:numPr>
          <w:ilvl w:val="0"/>
          <w:numId w:val="2"/>
        </w:numPr>
        <w:spacing w:before="100" w:beforeAutospacing="1" w:after="100" w:afterAutospacing="1" w:line="375" w:lineRule="atLeast"/>
        <w:ind w:left="0"/>
        <w:rPr>
          <w:rFonts w:ascii="Ubuntu" w:eastAsia="Times New Roman" w:hAnsi="Ubuntu" w:cs="Times New Roman"/>
          <w:color w:val="424242"/>
          <w:sz w:val="27"/>
          <w:szCs w:val="27"/>
          <w:lang w:eastAsia="uk-UA"/>
        </w:rPr>
      </w:pPr>
      <w:r w:rsidRPr="007977D6">
        <w:rPr>
          <w:rFonts w:ascii="Ubuntu" w:eastAsia="Times New Roman" w:hAnsi="Ubuntu" w:cs="Times New Roman"/>
          <w:b/>
          <w:bCs/>
          <w:color w:val="424242"/>
          <w:sz w:val="27"/>
          <w:szCs w:val="27"/>
          <w:lang w:eastAsia="uk-UA"/>
        </w:rPr>
        <w:t>декларація «кандидата на посаду» </w:t>
      </w:r>
      <w:r w:rsidRPr="007977D6">
        <w:rPr>
          <w:rFonts w:ascii="Ubuntu" w:eastAsia="Times New Roman" w:hAnsi="Ubuntu" w:cs="Times New Roman"/>
          <w:color w:val="424242"/>
          <w:sz w:val="27"/>
          <w:szCs w:val="27"/>
          <w:lang w:eastAsia="uk-UA"/>
        </w:rPr>
        <w:t>подається до призначення або обрання особи на посаду. Охоплює звітний рік (з 01 січня до 31 грудня включно), що передує року, в якому особа подала заяву на зайняття посади, якщо інше не передбачено законодавством. </w:t>
      </w:r>
    </w:p>
    <w:p w:rsidR="007977D6" w:rsidRPr="007977D6" w:rsidRDefault="007977D6" w:rsidP="007977D6">
      <w:pPr>
        <w:spacing w:after="210" w:line="375" w:lineRule="atLeast"/>
        <w:rPr>
          <w:rFonts w:ascii="Ubuntu" w:eastAsia="Times New Roman" w:hAnsi="Ubuntu" w:cs="Times New Roman"/>
          <w:color w:val="424242"/>
          <w:sz w:val="27"/>
          <w:szCs w:val="27"/>
          <w:lang w:eastAsia="uk-UA"/>
        </w:rPr>
      </w:pPr>
      <w:r w:rsidRPr="007977D6">
        <w:rPr>
          <w:rFonts w:ascii="Ubuntu" w:eastAsia="Times New Roman" w:hAnsi="Ubuntu" w:cs="Times New Roman"/>
          <w:color w:val="424242"/>
          <w:sz w:val="27"/>
          <w:szCs w:val="27"/>
          <w:lang w:eastAsia="uk-UA"/>
        </w:rPr>
        <w:t>Докладніше про те, в яких випадках потрібно чи не потрібно подавати той чи інший тип декларацій, можна прочитати за посиланням: </w:t>
      </w:r>
      <w:hyperlink r:id="rId5" w:history="1">
        <w:r w:rsidRPr="007977D6">
          <w:rPr>
            <w:rFonts w:ascii="Ubuntu" w:eastAsia="Times New Roman" w:hAnsi="Ubuntu" w:cs="Times New Roman"/>
            <w:color w:val="079ED9"/>
            <w:sz w:val="27"/>
            <w:szCs w:val="27"/>
            <w:u w:val="single"/>
            <w:lang w:eastAsia="uk-UA"/>
          </w:rPr>
          <w:t>https://bit.ly/2Mmrsub</w:t>
        </w:r>
      </w:hyperlink>
      <w:r w:rsidRPr="007977D6">
        <w:rPr>
          <w:rFonts w:ascii="Ubuntu" w:eastAsia="Times New Roman" w:hAnsi="Ubuntu" w:cs="Times New Roman"/>
          <w:color w:val="424242"/>
          <w:sz w:val="27"/>
          <w:szCs w:val="27"/>
          <w:lang w:eastAsia="uk-UA"/>
        </w:rPr>
        <w:t>.  </w:t>
      </w:r>
    </w:p>
    <w:p w:rsidR="007977D6" w:rsidRPr="007977D6" w:rsidRDefault="007977D6" w:rsidP="007977D6">
      <w:pPr>
        <w:numPr>
          <w:ilvl w:val="0"/>
          <w:numId w:val="3"/>
        </w:numPr>
        <w:spacing w:before="100" w:beforeAutospacing="1" w:after="100" w:afterAutospacing="1" w:line="375" w:lineRule="atLeast"/>
        <w:ind w:left="0"/>
        <w:rPr>
          <w:rFonts w:ascii="Ubuntu" w:eastAsia="Times New Roman" w:hAnsi="Ubuntu" w:cs="Times New Roman"/>
          <w:color w:val="424242"/>
          <w:sz w:val="27"/>
          <w:szCs w:val="27"/>
          <w:lang w:eastAsia="uk-UA"/>
        </w:rPr>
      </w:pPr>
      <w:r w:rsidRPr="007977D6">
        <w:rPr>
          <w:rFonts w:ascii="Ubuntu" w:eastAsia="Times New Roman" w:hAnsi="Ubuntu" w:cs="Times New Roman"/>
          <w:b/>
          <w:bCs/>
          <w:color w:val="424242"/>
          <w:sz w:val="27"/>
          <w:szCs w:val="27"/>
          <w:lang w:eastAsia="uk-UA"/>
        </w:rPr>
        <w:t>Як потрібно декларувати доходи? </w:t>
      </w:r>
    </w:p>
    <w:p w:rsidR="007977D6" w:rsidRPr="007977D6" w:rsidRDefault="007977D6" w:rsidP="007977D6">
      <w:pPr>
        <w:pStyle w:val="a3"/>
        <w:ind w:firstLine="720"/>
        <w:rPr>
          <w:rFonts w:ascii="Times New Roman" w:hAnsi="Times New Roman" w:cs="Times New Roman"/>
          <w:sz w:val="28"/>
          <w:szCs w:val="28"/>
          <w:lang w:eastAsia="uk-UA"/>
        </w:rPr>
      </w:pPr>
      <w:r w:rsidRPr="007977D6">
        <w:rPr>
          <w:rFonts w:ascii="Times New Roman" w:hAnsi="Times New Roman" w:cs="Times New Roman"/>
          <w:sz w:val="28"/>
          <w:szCs w:val="28"/>
          <w:lang w:eastAsia="uk-UA"/>
        </w:rPr>
        <w:t>У розділі 11 “Доходи, у тому числі подарунки” декларації потрібно зазначати відомості про доходи, які суб’єкт декларування або члени його сім’ї отримали упродовж звітного періоду.</w:t>
      </w:r>
    </w:p>
    <w:p w:rsidR="007977D6" w:rsidRPr="007977D6" w:rsidRDefault="007977D6" w:rsidP="007977D6">
      <w:pPr>
        <w:pStyle w:val="a3"/>
        <w:rPr>
          <w:rFonts w:ascii="Times New Roman" w:hAnsi="Times New Roman" w:cs="Times New Roman"/>
          <w:sz w:val="28"/>
          <w:szCs w:val="28"/>
          <w:lang w:eastAsia="uk-UA"/>
        </w:rPr>
      </w:pPr>
      <w:r w:rsidRPr="007977D6">
        <w:rPr>
          <w:rFonts w:ascii="Times New Roman" w:hAnsi="Times New Roman" w:cs="Times New Roman"/>
          <w:sz w:val="28"/>
          <w:szCs w:val="28"/>
          <w:lang w:eastAsia="uk-UA"/>
        </w:rPr>
        <w:t>При цьому доходи включають: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заробітну плату (грошове забезпечення), отриману як за основним місцем роботи, так і за сумісництвом;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гонорари та інші виплати згідно з цивільно-правовими правочинами;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дохід від підприємницької або незалежної професійної діяльності;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дохід від надання майна в оренду (користування);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дивіденди;</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проценти;</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роялті;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страхові виплати;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виграші (призи) у лотерею чи в інші розіграші, у букмекерському парі, у парі тоталізатора;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призи (виграші) у грошовій формі, одержані за перемогу та/або участь в аматорських спортивних змаганнях;</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благодійну допомогу;</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lastRenderedPageBreak/>
        <w:t>пенсію;</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спадщину;</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доходи від відчуження цінних паперів чи корпоративних прав;</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подарунки;</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інші доходи. </w:t>
      </w:r>
    </w:p>
    <w:p w:rsidR="007977D6" w:rsidRPr="007977D6" w:rsidRDefault="007977D6" w:rsidP="007977D6">
      <w:pPr>
        <w:pStyle w:val="a3"/>
        <w:ind w:firstLine="720"/>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А ось соціальні виплати, субсидії тощо вважаються доходом і відображаються в декларації лише в разі їх монетизації, тобто виплати у грошовій формі.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Якщо ви хочете дізнатися більше про декларування доходів, переходьте за посиланням: </w:t>
      </w:r>
      <w:hyperlink r:id="rId6" w:history="1">
        <w:r w:rsidRPr="007977D6">
          <w:rPr>
            <w:rFonts w:ascii="Times New Roman" w:hAnsi="Times New Roman" w:cs="Times New Roman"/>
            <w:color w:val="079ED9"/>
            <w:sz w:val="28"/>
            <w:szCs w:val="28"/>
            <w:u w:val="single"/>
            <w:lang w:eastAsia="uk-UA"/>
          </w:rPr>
          <w:t>https://bit.ly/37Ltk7a</w:t>
        </w:r>
      </w:hyperlink>
      <w:r w:rsidRPr="007977D6">
        <w:rPr>
          <w:rFonts w:ascii="Times New Roman" w:hAnsi="Times New Roman" w:cs="Times New Roman"/>
          <w:sz w:val="28"/>
          <w:szCs w:val="28"/>
          <w:lang w:eastAsia="uk-UA"/>
        </w:rPr>
        <w:t>.  </w:t>
      </w:r>
    </w:p>
    <w:p w:rsidR="007977D6" w:rsidRPr="007977D6" w:rsidRDefault="007977D6" w:rsidP="007977D6">
      <w:pPr>
        <w:pStyle w:val="a3"/>
        <w:ind w:firstLine="720"/>
        <w:jc w:val="both"/>
        <w:rPr>
          <w:rFonts w:ascii="Times New Roman" w:hAnsi="Times New Roman" w:cs="Times New Roman"/>
          <w:sz w:val="28"/>
          <w:szCs w:val="28"/>
          <w:lang w:eastAsia="uk-UA"/>
        </w:rPr>
      </w:pPr>
      <w:r w:rsidRPr="007977D6">
        <w:rPr>
          <w:rFonts w:ascii="Times New Roman" w:hAnsi="Times New Roman" w:cs="Times New Roman"/>
          <w:b/>
          <w:bCs/>
          <w:sz w:val="28"/>
          <w:szCs w:val="28"/>
          <w:lang w:eastAsia="uk-UA"/>
        </w:rPr>
        <w:t>Як декларувати нерухомість? </w:t>
      </w:r>
    </w:p>
    <w:p w:rsidR="007977D6" w:rsidRPr="007977D6" w:rsidRDefault="007977D6" w:rsidP="007977D6">
      <w:pPr>
        <w:pStyle w:val="a3"/>
        <w:ind w:firstLine="720"/>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Особливості декларування об’єктів нерухомості можуть різнитися в залежності від типу об’єкта (наприклад, земельна ділянка, будинок тощо), часу використання цього об’єкта декларантом або членами його сім’ї, типу власності тощо. </w:t>
      </w:r>
    </w:p>
    <w:p w:rsidR="007977D6" w:rsidRPr="007977D6" w:rsidRDefault="007977D6" w:rsidP="007977D6">
      <w:pPr>
        <w:pStyle w:val="a3"/>
        <w:ind w:firstLine="720"/>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Детально про те, як правильно декларувати об’єкти нерухомості можливо прочитати за посиланням: </w:t>
      </w:r>
      <w:hyperlink r:id="rId7" w:history="1">
        <w:r w:rsidRPr="007977D6">
          <w:rPr>
            <w:rFonts w:ascii="Times New Roman" w:hAnsi="Times New Roman" w:cs="Times New Roman"/>
            <w:color w:val="079ED9"/>
            <w:sz w:val="28"/>
            <w:szCs w:val="28"/>
            <w:u w:val="single"/>
            <w:lang w:eastAsia="uk-UA"/>
          </w:rPr>
          <w:t>https://bit.ly/3dI6MrB</w:t>
        </w:r>
      </w:hyperlink>
      <w:r w:rsidRPr="007977D6">
        <w:rPr>
          <w:rFonts w:ascii="Times New Roman" w:hAnsi="Times New Roman" w:cs="Times New Roman"/>
          <w:sz w:val="28"/>
          <w:szCs w:val="28"/>
          <w:lang w:eastAsia="uk-UA"/>
        </w:rPr>
        <w:t>.  </w:t>
      </w:r>
    </w:p>
    <w:p w:rsidR="007977D6" w:rsidRPr="007977D6" w:rsidRDefault="007977D6" w:rsidP="007977D6">
      <w:pPr>
        <w:pStyle w:val="a3"/>
        <w:ind w:firstLine="720"/>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Також суб’єкти декларування запитують чи потрібно декларувати майно померлого члена сім’ї. Якщо ви володіли, користувалися не менше половини днів протягом звітного періоду об’єктами, які належали померлому, то відомості про них необхідно зазначити  у відповідних розділах декларації.   </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Нагадуємо, що консультацію від фахівців НАЗК можна отримати з понеділка по п’ятницю з 9:00 до 18:00 без перерви за номером +38(044)200–06–94.</w:t>
      </w:r>
    </w:p>
    <w:p w:rsidR="007977D6" w:rsidRPr="007977D6" w:rsidRDefault="007977D6" w:rsidP="007977D6">
      <w:pPr>
        <w:pStyle w:val="a3"/>
        <w:jc w:val="both"/>
        <w:rPr>
          <w:rFonts w:ascii="Times New Roman" w:hAnsi="Times New Roman" w:cs="Times New Roman"/>
          <w:sz w:val="28"/>
          <w:szCs w:val="28"/>
          <w:lang w:eastAsia="uk-UA"/>
        </w:rPr>
      </w:pPr>
      <w:r w:rsidRPr="007977D6">
        <w:rPr>
          <w:rFonts w:ascii="Times New Roman" w:hAnsi="Times New Roman" w:cs="Times New Roman"/>
          <w:sz w:val="28"/>
          <w:szCs w:val="28"/>
          <w:lang w:eastAsia="uk-UA"/>
        </w:rPr>
        <w:t>Докладніше про те, як отримати консультацію, можна прочитати за посиланням: </w:t>
      </w:r>
      <w:hyperlink r:id="rId8" w:history="1">
        <w:r w:rsidRPr="007977D6">
          <w:rPr>
            <w:rFonts w:ascii="Times New Roman" w:hAnsi="Times New Roman" w:cs="Times New Roman"/>
            <w:color w:val="079ED9"/>
            <w:sz w:val="28"/>
            <w:szCs w:val="28"/>
            <w:u w:val="single"/>
            <w:lang w:eastAsia="uk-UA"/>
          </w:rPr>
          <w:t>https://bit.ly/3aMNhuP</w:t>
        </w:r>
      </w:hyperlink>
      <w:r w:rsidRPr="007977D6">
        <w:rPr>
          <w:rFonts w:ascii="Times New Roman" w:hAnsi="Times New Roman" w:cs="Times New Roman"/>
          <w:sz w:val="28"/>
          <w:szCs w:val="28"/>
          <w:lang w:eastAsia="uk-UA"/>
        </w:rPr>
        <w:t>. </w:t>
      </w:r>
    </w:p>
    <w:sectPr w:rsidR="007977D6" w:rsidRPr="007977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buntu">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AA5"/>
    <w:multiLevelType w:val="multilevel"/>
    <w:tmpl w:val="A034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940D2"/>
    <w:multiLevelType w:val="multilevel"/>
    <w:tmpl w:val="0D8C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626BA"/>
    <w:multiLevelType w:val="multilevel"/>
    <w:tmpl w:val="B416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97D1D"/>
    <w:multiLevelType w:val="multilevel"/>
    <w:tmpl w:val="0F22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169C5"/>
    <w:multiLevelType w:val="multilevel"/>
    <w:tmpl w:val="0050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63049"/>
    <w:multiLevelType w:val="multilevel"/>
    <w:tmpl w:val="5E8C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D6"/>
    <w:rsid w:val="007977D6"/>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E1B0"/>
  <w15:chartTrackingRefBased/>
  <w15:docId w15:val="{A2D2D62D-D1EC-41F7-8DE4-4E245EC6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77D6"/>
    <w:pPr>
      <w:spacing w:after="0" w:line="240" w:lineRule="auto"/>
    </w:pPr>
    <w:rPr>
      <w:lang w:val="uk-UA"/>
    </w:rPr>
  </w:style>
  <w:style w:type="paragraph" w:styleId="a4">
    <w:name w:val="Normal (Web)"/>
    <w:basedOn w:val="a"/>
    <w:uiPriority w:val="99"/>
    <w:semiHidden/>
    <w:unhideWhenUsed/>
    <w:rsid w:val="007977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797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MNhuP" TargetMode="External"/><Relationship Id="rId3" Type="http://schemas.openxmlformats.org/officeDocument/2006/relationships/settings" Target="settings.xml"/><Relationship Id="rId7" Type="http://schemas.openxmlformats.org/officeDocument/2006/relationships/hyperlink" Target="https://bit.ly/3dI6Mr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7Ltk7a" TargetMode="External"/><Relationship Id="rId5" Type="http://schemas.openxmlformats.org/officeDocument/2006/relationships/hyperlink" Target="https://bit.ly/2Mmrsu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2024</Words>
  <Characters>1154</Characters>
  <Application>Microsoft Office Word</Application>
  <DocSecurity>0</DocSecurity>
  <Lines>9</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2</cp:revision>
  <dcterms:created xsi:type="dcterms:W3CDTF">2021-03-09T10:05:00Z</dcterms:created>
  <dcterms:modified xsi:type="dcterms:W3CDTF">2021-03-09T10:08:00Z</dcterms:modified>
</cp:coreProperties>
</file>