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63"/>
        <w:gridCol w:w="6057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 ДК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Нафта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 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73594F" w:rsidRDefault="009F55CA" w:rsidP="0073594F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t xml:space="preserve">                              </w:t>
            </w:r>
            <w:r>
              <w:fldChar w:fldCharType="begin"/>
            </w:r>
            <w:r>
              <w:instrText xml:space="preserve"> HYPERLINK "https://my.zakupki.prom.ua/cabinet/purchases/state_plan/view/22922693" \t "_blank" </w:instrText>
            </w:r>
            <w:r>
              <w:fldChar w:fldCharType="separate"/>
            </w:r>
            <w:r>
              <w:rPr>
                <w:rStyle w:val="a5"/>
                <w:rFonts w:ascii="Arial" w:hAnsi="Arial" w:cs="Arial"/>
                <w:color w:val="00A1CD"/>
                <w:sz w:val="20"/>
                <w:szCs w:val="20"/>
                <w:bdr w:val="none" w:sz="0" w:space="0" w:color="auto" w:frame="1"/>
              </w:rPr>
              <w:t>UA-P-2023-01-13-000268-b</w:t>
            </w:r>
            <w:r>
              <w:fldChar w:fldCharType="end"/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повинен</w:t>
            </w:r>
            <w:proofErr w:type="gram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дизельного</w:t>
            </w:r>
            <w:proofErr w:type="gram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01.08.2013 № 927.</w:t>
            </w:r>
          </w:p>
          <w:p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7-ми (семи)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вул..Героїв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62093D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      </w:r>
            <w:proofErr w:type="spellStart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договору про закупівлю)</w:t>
            </w:r>
            <w:r w:rsid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Примітка</w:t>
            </w:r>
            <w:proofErr w:type="spellEnd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:</w:t>
            </w:r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будь-яке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чи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фірму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</w:t>
            </w:r>
            <w:proofErr w:type="gram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вл</w:t>
            </w:r>
            <w:proofErr w:type="gram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джерело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його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цій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застосовується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із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виразом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».</w:t>
            </w:r>
          </w:p>
          <w:p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>31.05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</w:t>
            </w:r>
            <w:proofErr w:type="gram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бюджетного</w:t>
            </w:r>
            <w:proofErr w:type="gram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62093D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55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,00 </w:t>
            </w:r>
            <w:proofErr w:type="spellStart"/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П’ятдесят п’ять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proofErr w:type="gram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proofErr w:type="gramEnd"/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E25276" w:rsidRDefault="00E25276" w:rsidP="00E25276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E25276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E25276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отриманими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постачальників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комерційних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hyperlink r:id="rId5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</w:t>
            </w:r>
            <w:proofErr w:type="gram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вл</w:t>
            </w:r>
            <w:proofErr w:type="gram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</w:tbl>
    <w:p w:rsidR="000358FC" w:rsidRPr="00C560C2" w:rsidRDefault="0005292C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05292C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B03B73" w:rsidRDefault="00B03B73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4A4670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87C4E"/>
    <w:rsid w:val="00BA2586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а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pbmRleC5taW5maW4uY29tLnVhL21hcmtldHMvZnVlbC8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2023-01-13T09:19:00Z</cp:lastPrinted>
  <dcterms:created xsi:type="dcterms:W3CDTF">2022-07-25T09:06:00Z</dcterms:created>
  <dcterms:modified xsi:type="dcterms:W3CDTF">2023-01-13T10:17:00Z</dcterms:modified>
</cp:coreProperties>
</file>