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B5972" w14:textId="77777777" w:rsidR="00DA6332" w:rsidRPr="00880398" w:rsidRDefault="00DA6332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</w:rPr>
      </w:pPr>
      <w:r>
        <w:t xml:space="preserve"> </w:t>
      </w:r>
      <w:r>
        <w:tab/>
      </w:r>
      <w:r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auto"/>
          <w:sz w:val="24"/>
          <w:szCs w:val="24"/>
        </w:rPr>
        <w:t>Додаток 1</w:t>
      </w:r>
    </w:p>
    <w:p w14:paraId="18C3418F" w14:textId="77777777" w:rsidR="00DA6332" w:rsidRPr="00105DAA" w:rsidRDefault="00DA6332" w:rsidP="00F552D8">
      <w:pPr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rFonts w:ascii="Times New Roman" w:hAnsi="Times New Roman"/>
          <w:b/>
          <w:sz w:val="24"/>
          <w:szCs w:val="24"/>
          <w:lang w:val="uk-UA"/>
        </w:rPr>
        <w:t>Заходи з реалізації Програми</w:t>
      </w:r>
    </w:p>
    <w:p w14:paraId="15B6C7F2" w14:textId="77777777" w:rsidR="00DA6332" w:rsidRPr="00105DAA" w:rsidRDefault="00DA6332" w:rsidP="002307B1">
      <w:pPr>
        <w:jc w:val="center"/>
        <w:rPr>
          <w:rFonts w:ascii="Times New Roman" w:hAnsi="Times New Roman"/>
          <w:b/>
          <w:sz w:val="24"/>
          <w:szCs w:val="24"/>
        </w:rPr>
      </w:pPr>
      <w:r w:rsidRPr="00105DA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Розвиток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підтримка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комунальних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охорони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05DAA">
        <w:rPr>
          <w:rFonts w:ascii="Times New Roman" w:hAnsi="Times New Roman"/>
          <w:b/>
          <w:sz w:val="24"/>
          <w:szCs w:val="24"/>
        </w:rPr>
        <w:t>здоров’я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 для</w:t>
      </w:r>
      <w:proofErr w:type="gram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покращення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умов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медичного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обслуговування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населення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Козятинської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на 2025 – 2027 роки»</w:t>
      </w:r>
    </w:p>
    <w:tbl>
      <w:tblPr>
        <w:tblW w:w="158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2158"/>
        <w:gridCol w:w="2977"/>
        <w:gridCol w:w="992"/>
        <w:gridCol w:w="1134"/>
        <w:gridCol w:w="1531"/>
        <w:gridCol w:w="1134"/>
        <w:gridCol w:w="35"/>
        <w:gridCol w:w="1099"/>
        <w:gridCol w:w="1134"/>
        <w:gridCol w:w="1276"/>
        <w:gridCol w:w="1701"/>
        <w:gridCol w:w="87"/>
        <w:gridCol w:w="26"/>
      </w:tblGrid>
      <w:tr w:rsidR="00DA6332" w:rsidRPr="00CF0EA3" w14:paraId="382536BB" w14:textId="77777777" w:rsidTr="00CF0EA3">
        <w:trPr>
          <w:trHeight w:val="432"/>
        </w:trPr>
        <w:tc>
          <w:tcPr>
            <w:tcW w:w="536" w:type="dxa"/>
            <w:vMerge w:val="restart"/>
          </w:tcPr>
          <w:p w14:paraId="20213CD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62811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58" w:type="dxa"/>
            <w:vMerge w:val="restart"/>
          </w:tcPr>
          <w:p w14:paraId="3A36E57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авдання</w:t>
            </w:r>
            <w:proofErr w:type="spellEnd"/>
          </w:p>
        </w:tc>
        <w:tc>
          <w:tcPr>
            <w:tcW w:w="2977" w:type="dxa"/>
            <w:vMerge w:val="restart"/>
          </w:tcPr>
          <w:p w14:paraId="670E788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31337D0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Срок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134" w:type="dxa"/>
            <w:vMerge w:val="restart"/>
          </w:tcPr>
          <w:p w14:paraId="1F5084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531" w:type="dxa"/>
            <w:vMerge w:val="restart"/>
          </w:tcPr>
          <w:p w14:paraId="6EF8389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678" w:type="dxa"/>
            <w:gridSpan w:val="5"/>
          </w:tcPr>
          <w:p w14:paraId="439F7F4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бсяги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58E3786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1814" w:type="dxa"/>
            <w:gridSpan w:val="3"/>
          </w:tcPr>
          <w:p w14:paraId="298FC4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Очікува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0B618B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DA6332" w:rsidRPr="00CF0EA3" w14:paraId="13142701" w14:textId="77777777" w:rsidTr="00CF0EA3">
        <w:trPr>
          <w:trHeight w:val="180"/>
        </w:trPr>
        <w:tc>
          <w:tcPr>
            <w:tcW w:w="536" w:type="dxa"/>
            <w:vMerge/>
          </w:tcPr>
          <w:p w14:paraId="06B187A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63AE558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21414E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772BB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85B40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7F594CF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FEA44F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544" w:type="dxa"/>
            <w:gridSpan w:val="4"/>
          </w:tcPr>
          <w:p w14:paraId="7964C2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 xml:space="preserve">В тому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за роками</w:t>
            </w:r>
          </w:p>
        </w:tc>
        <w:tc>
          <w:tcPr>
            <w:tcW w:w="1814" w:type="dxa"/>
            <w:gridSpan w:val="3"/>
          </w:tcPr>
          <w:p w14:paraId="29894B2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242C7412" w14:textId="77777777" w:rsidTr="00CF0EA3">
        <w:trPr>
          <w:trHeight w:val="180"/>
        </w:trPr>
        <w:tc>
          <w:tcPr>
            <w:tcW w:w="536" w:type="dxa"/>
            <w:vMerge/>
          </w:tcPr>
          <w:p w14:paraId="072908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4C27183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D8DDF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4C8C48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527F0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283291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F277E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EEDF7B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5A45D0F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14:paraId="436DB21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14" w:type="dxa"/>
            <w:gridSpan w:val="3"/>
          </w:tcPr>
          <w:p w14:paraId="62564F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18FDDF6C" w14:textId="77777777" w:rsidTr="00CF0EA3">
        <w:trPr>
          <w:gridAfter w:val="1"/>
          <w:wAfter w:w="26" w:type="dxa"/>
        </w:trPr>
        <w:tc>
          <w:tcPr>
            <w:tcW w:w="15794" w:type="dxa"/>
            <w:gridSpan w:val="13"/>
          </w:tcPr>
          <w:p w14:paraId="586D9421" w14:textId="77777777" w:rsidR="00DA6332" w:rsidRPr="00CF0EA3" w:rsidRDefault="00DA633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І. </w:t>
            </w: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ради».</w:t>
            </w:r>
          </w:p>
          <w:tbl>
            <w:tblPr>
              <w:tblW w:w="16018" w:type="dxa"/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2127"/>
              <w:gridCol w:w="2976"/>
              <w:gridCol w:w="993"/>
              <w:gridCol w:w="1417"/>
              <w:gridCol w:w="1275"/>
              <w:gridCol w:w="1134"/>
              <w:gridCol w:w="1134"/>
              <w:gridCol w:w="1134"/>
              <w:gridCol w:w="1276"/>
              <w:gridCol w:w="2126"/>
            </w:tblGrid>
            <w:tr w:rsidR="00DA6332" w:rsidRPr="00CF0EA3" w14:paraId="289EC91F" w14:textId="77777777" w:rsidTr="004D248C">
              <w:trPr>
                <w:trHeight w:val="707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ED89BAA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8B541" w14:textId="77777777" w:rsidR="00DA6332" w:rsidRPr="006A0B12" w:rsidRDefault="00DA6332" w:rsidP="00FF1C4B">
                  <w:pPr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Забезпечення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належних умов для надання </w:t>
                  </w: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>медичної допомоги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E590D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1.1.Оплата вартості комунальних послуг та енергоносіїв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2AC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4F314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E177E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7EC5B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3529,2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31FA6" w14:textId="77777777" w:rsidR="00DA6332" w:rsidRPr="006A0B12" w:rsidRDefault="00DA6332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176,4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1ECD0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6A24F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D73C3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 функціонування лікувальних закладів</w:t>
                  </w:r>
                </w:p>
              </w:tc>
            </w:tr>
            <w:tr w:rsidR="00DA6332" w:rsidRPr="00CF0EA3" w14:paraId="05764337" w14:textId="77777777" w:rsidTr="004D248C">
              <w:trPr>
                <w:trHeight w:val="165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67676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B82A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 зниження   рівня    захворюваності, інвалідності, смертності, подовження   активного  довголіття і  тривалості  життя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02F2F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2.1. Забезпечення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підгузниками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пелюшками, урологічними прокладками,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сечоприймачами, 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тубіркулінодіагностики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проведеня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профілактики раку шийки матки проти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папіломовірусу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людини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F1B34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380EB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587D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94674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7995,3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0B9F1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A184F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36CA9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C60B1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Зниження загальної захворюваності та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інвалідизації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населення; зниження смертності, в тому числі працездатного населення</w:t>
                  </w:r>
                </w:p>
              </w:tc>
            </w:tr>
            <w:tr w:rsidR="00DA6332" w:rsidRPr="00CF0EA3" w14:paraId="1167E093" w14:textId="77777777" w:rsidTr="004D248C">
              <w:trPr>
                <w:trHeight w:val="707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FD5173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72A9" w14:textId="77777777" w:rsidR="00DA6332" w:rsidRPr="006A0B12" w:rsidRDefault="00DA633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Забезпечення на підтримку медицини 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сільській місцевості.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D749D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 xml:space="preserve">3.1.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Підтримка медицини в сільській місцевості.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FA63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87D80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5219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13E35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5259,00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C48C7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D140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84300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F48C8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 функціонування лікувальних закладів.</w:t>
                  </w:r>
                </w:p>
              </w:tc>
            </w:tr>
          </w:tbl>
          <w:p w14:paraId="591F188E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6332" w:rsidRPr="00CF0EA3" w14:paraId="58F75755" w14:textId="77777777" w:rsidTr="00CF0EA3">
        <w:tc>
          <w:tcPr>
            <w:tcW w:w="536" w:type="dxa"/>
          </w:tcPr>
          <w:p w14:paraId="5E70F1E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</w:tcPr>
          <w:p w14:paraId="2DFDD3B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7DAFB2F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5870F93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533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2565C01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B881A1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16783,5</w:t>
            </w:r>
          </w:p>
        </w:tc>
        <w:tc>
          <w:tcPr>
            <w:tcW w:w="1134" w:type="dxa"/>
            <w:gridSpan w:val="2"/>
          </w:tcPr>
          <w:p w14:paraId="3F5DA5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134" w:type="dxa"/>
          </w:tcPr>
          <w:p w14:paraId="06A3306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276" w:type="dxa"/>
          </w:tcPr>
          <w:p w14:paraId="3D85113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814" w:type="dxa"/>
            <w:gridSpan w:val="3"/>
          </w:tcPr>
          <w:p w14:paraId="34F292D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332" w:rsidRPr="00CF0EA3" w14:paraId="4CC1F506" w14:textId="77777777" w:rsidTr="00CF0EA3">
        <w:trPr>
          <w:gridAfter w:val="1"/>
          <w:wAfter w:w="26" w:type="dxa"/>
          <w:trHeight w:val="720"/>
        </w:trPr>
        <w:tc>
          <w:tcPr>
            <w:tcW w:w="15794" w:type="dxa"/>
            <w:gridSpan w:val="13"/>
          </w:tcPr>
          <w:p w14:paraId="23DE37F0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F14C6C9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Комунальне підприємство «Козятинська центральна районна лікарня» Козятинської міської ради»</w:t>
            </w:r>
          </w:p>
          <w:p w14:paraId="7B1AC344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332" w:rsidRPr="00CF0EA3" w14:paraId="322D3C92" w14:textId="77777777" w:rsidTr="00CF0EA3">
        <w:trPr>
          <w:gridAfter w:val="2"/>
          <w:wAfter w:w="113" w:type="dxa"/>
          <w:trHeight w:val="1412"/>
        </w:trPr>
        <w:tc>
          <w:tcPr>
            <w:tcW w:w="536" w:type="dxa"/>
          </w:tcPr>
          <w:p w14:paraId="47E1C19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CDAD7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58" w:type="dxa"/>
          </w:tcPr>
          <w:p w14:paraId="7F8419E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Забезпечення належних умов для надання медичної допомоги</w:t>
            </w:r>
          </w:p>
        </w:tc>
        <w:tc>
          <w:tcPr>
            <w:tcW w:w="2977" w:type="dxa"/>
          </w:tcPr>
          <w:p w14:paraId="09E36A5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1.1.Оплата</w:t>
            </w:r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вартості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комунальних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послуг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та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992" w:type="dxa"/>
          </w:tcPr>
          <w:p w14:paraId="7472A1B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CB369E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14:paraId="39F1F31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1208B50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15429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67450,00</w:t>
            </w:r>
          </w:p>
        </w:tc>
        <w:tc>
          <w:tcPr>
            <w:tcW w:w="1134" w:type="dxa"/>
            <w:gridSpan w:val="2"/>
          </w:tcPr>
          <w:p w14:paraId="11A8FA3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93FBF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20143,10</w:t>
            </w:r>
          </w:p>
        </w:tc>
        <w:tc>
          <w:tcPr>
            <w:tcW w:w="1134" w:type="dxa"/>
          </w:tcPr>
          <w:p w14:paraId="3A358FA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D5464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22399,10</w:t>
            </w:r>
          </w:p>
        </w:tc>
        <w:tc>
          <w:tcPr>
            <w:tcW w:w="1276" w:type="dxa"/>
          </w:tcPr>
          <w:p w14:paraId="17F6ADC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75487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24907,80</w:t>
            </w:r>
          </w:p>
        </w:tc>
        <w:tc>
          <w:tcPr>
            <w:tcW w:w="1701" w:type="dxa"/>
          </w:tcPr>
          <w:p w14:paraId="4768E3C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Стале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лікувальних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</w:p>
          <w:p w14:paraId="1DF7232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0BA10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3320" w:rsidRPr="00CF0EA3" w14:paraId="7A5B99FE" w14:textId="77777777" w:rsidTr="00CF0EA3">
        <w:trPr>
          <w:gridAfter w:val="2"/>
          <w:wAfter w:w="113" w:type="dxa"/>
          <w:trHeight w:val="1412"/>
        </w:trPr>
        <w:tc>
          <w:tcPr>
            <w:tcW w:w="536" w:type="dxa"/>
          </w:tcPr>
          <w:p w14:paraId="367A8A7C" w14:textId="6E54F9CB" w:rsidR="008E3320" w:rsidRPr="008E3320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</w:tcPr>
          <w:p w14:paraId="161F8E1E" w14:textId="77777777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39BCAEC" w14:textId="207A03E6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1.2. Придбання медикаментів та виробів медичного призначення</w:t>
            </w:r>
            <w:r w:rsidR="00690163">
              <w:rPr>
                <w:rFonts w:ascii="Times New Roman" w:hAnsi="Times New Roman"/>
                <w:sz w:val="24"/>
                <w:szCs w:val="24"/>
                <w:lang w:val="uk-UA"/>
              </w:rPr>
              <w:t>, окрім медикаментів передбачених державними медичними гарантіями</w:t>
            </w:r>
            <w:r w:rsidR="00734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1AC49827" w14:textId="5BD9CA40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30DD089" w14:textId="4C248FD7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14:paraId="4405CC5F" w14:textId="367AA5AE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2D7E1F9F" w14:textId="368A034E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3000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4" w:type="dxa"/>
            <w:gridSpan w:val="2"/>
          </w:tcPr>
          <w:p w14:paraId="5A8FEFB3" w14:textId="3642BD65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4" w:type="dxa"/>
          </w:tcPr>
          <w:p w14:paraId="5EEB972B" w14:textId="3968AC0D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6" w:type="dxa"/>
          </w:tcPr>
          <w:p w14:paraId="0F13311A" w14:textId="7F9D38D3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</w:tcPr>
          <w:p w14:paraId="6E4F7C2C" w14:textId="77777777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04A325D1" w14:textId="77777777" w:rsidTr="00CF0EA3">
        <w:trPr>
          <w:gridAfter w:val="2"/>
          <w:wAfter w:w="113" w:type="dxa"/>
        </w:trPr>
        <w:tc>
          <w:tcPr>
            <w:tcW w:w="536" w:type="dxa"/>
            <w:vMerge w:val="restart"/>
          </w:tcPr>
          <w:p w14:paraId="0C797B4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58" w:type="dxa"/>
            <w:vMerge w:val="restart"/>
          </w:tcPr>
          <w:p w14:paraId="2B7AAB7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Style w:val="FontStyle20"/>
                <w:szCs w:val="24"/>
                <w:lang w:val="uk-UA" w:eastAsia="uk-UA"/>
              </w:rPr>
              <w:t>Покращення матеріально-технічної бази закладів охорони здоров’я</w:t>
            </w:r>
          </w:p>
        </w:tc>
        <w:tc>
          <w:tcPr>
            <w:tcW w:w="2977" w:type="dxa"/>
          </w:tcPr>
          <w:p w14:paraId="1C10737C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Проведення  капітального ремонту  приміщень лікарні. </w:t>
            </w:r>
          </w:p>
          <w:p w14:paraId="3E2B1691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0D8D33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EE8CC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CAC4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789F9C8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33404D57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44E3DAB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AB60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713748E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70F4654F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ADF8C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D0E736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26000,00</w:t>
            </w:r>
          </w:p>
        </w:tc>
        <w:tc>
          <w:tcPr>
            <w:tcW w:w="1134" w:type="dxa"/>
            <w:gridSpan w:val="2"/>
          </w:tcPr>
          <w:p w14:paraId="4E6ED6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1730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9000,00</w:t>
            </w:r>
          </w:p>
        </w:tc>
        <w:tc>
          <w:tcPr>
            <w:tcW w:w="1134" w:type="dxa"/>
          </w:tcPr>
          <w:p w14:paraId="4DA20A0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68343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9000,00</w:t>
            </w:r>
          </w:p>
        </w:tc>
        <w:tc>
          <w:tcPr>
            <w:tcW w:w="1276" w:type="dxa"/>
          </w:tcPr>
          <w:p w14:paraId="24A720B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9F731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8000,00</w:t>
            </w:r>
          </w:p>
        </w:tc>
        <w:tc>
          <w:tcPr>
            <w:tcW w:w="1701" w:type="dxa"/>
          </w:tcPr>
          <w:p w14:paraId="120FD67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332" w:rsidRPr="00CF0EA3" w14:paraId="5E439D14" w14:textId="77777777" w:rsidTr="00CF0EA3">
        <w:trPr>
          <w:gridAfter w:val="2"/>
          <w:wAfter w:w="113" w:type="dxa"/>
        </w:trPr>
        <w:tc>
          <w:tcPr>
            <w:tcW w:w="536" w:type="dxa"/>
            <w:vMerge/>
          </w:tcPr>
          <w:p w14:paraId="01EE783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vMerge/>
          </w:tcPr>
          <w:p w14:paraId="34861BFD" w14:textId="77777777" w:rsidR="00DA6332" w:rsidRPr="00CF0EA3" w:rsidRDefault="00DA6332" w:rsidP="00CF0EA3">
            <w:pPr>
              <w:spacing w:after="0" w:line="240" w:lineRule="auto"/>
              <w:rPr>
                <w:rStyle w:val="FontStyle20"/>
                <w:szCs w:val="24"/>
                <w:lang w:val="uk-UA" w:eastAsia="uk-UA"/>
              </w:rPr>
            </w:pPr>
          </w:p>
        </w:tc>
        <w:tc>
          <w:tcPr>
            <w:tcW w:w="2977" w:type="dxa"/>
          </w:tcPr>
          <w:p w14:paraId="17EC7C20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2.2.Проведення  поточного ремонту приміщень лікарні.</w:t>
            </w:r>
          </w:p>
          <w:p w14:paraId="66629F7B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08D12F0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F1C788C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32497A56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7E7093D" w14:textId="77777777" w:rsidR="00DA6332" w:rsidRPr="00CF0EA3" w:rsidRDefault="00DA6332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>КП «Козятинська ЦРЛ»</w:t>
            </w:r>
          </w:p>
          <w:p w14:paraId="055A346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7098A1E3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2A877F32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277336" w14:textId="54AE4219" w:rsidR="00DA6332" w:rsidRPr="00CF0EA3" w:rsidRDefault="00DA6332" w:rsidP="006B6415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B641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134" w:type="dxa"/>
            <w:gridSpan w:val="2"/>
          </w:tcPr>
          <w:p w14:paraId="237BB47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C7D907" w14:textId="499DCA89" w:rsidR="00DA6332" w:rsidRPr="00CF0EA3" w:rsidRDefault="006B641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134" w:type="dxa"/>
          </w:tcPr>
          <w:p w14:paraId="1CDDD589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55A325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3200,00</w:t>
            </w:r>
          </w:p>
        </w:tc>
        <w:tc>
          <w:tcPr>
            <w:tcW w:w="1276" w:type="dxa"/>
          </w:tcPr>
          <w:p w14:paraId="416062A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B5CB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4300,00</w:t>
            </w:r>
          </w:p>
        </w:tc>
        <w:tc>
          <w:tcPr>
            <w:tcW w:w="1701" w:type="dxa"/>
          </w:tcPr>
          <w:p w14:paraId="3E44537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332" w:rsidRPr="00CF0EA3" w14:paraId="22B4BDF4" w14:textId="77777777" w:rsidTr="00CF0EA3">
        <w:trPr>
          <w:gridAfter w:val="2"/>
          <w:wAfter w:w="113" w:type="dxa"/>
        </w:trPr>
        <w:tc>
          <w:tcPr>
            <w:tcW w:w="536" w:type="dxa"/>
            <w:vMerge/>
            <w:tcBorders>
              <w:top w:val="nil"/>
            </w:tcBorders>
          </w:tcPr>
          <w:p w14:paraId="62EDEAB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5C52889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4F947F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2.3.Співфінансування у придбанні медичного обладнання </w:t>
            </w:r>
          </w:p>
          <w:p w14:paraId="3900C572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A3832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4EC2A3E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31D5EB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</w:tc>
        <w:tc>
          <w:tcPr>
            <w:tcW w:w="1134" w:type="dxa"/>
          </w:tcPr>
          <w:p w14:paraId="78C79CA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1CD1640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27F7EED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D915BD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C7DC68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3800,00</w:t>
            </w:r>
          </w:p>
        </w:tc>
        <w:tc>
          <w:tcPr>
            <w:tcW w:w="1134" w:type="dxa"/>
            <w:gridSpan w:val="2"/>
          </w:tcPr>
          <w:p w14:paraId="003657D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D5173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134" w:type="dxa"/>
          </w:tcPr>
          <w:p w14:paraId="6CE79A3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1398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276" w:type="dxa"/>
          </w:tcPr>
          <w:p w14:paraId="66C3D3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861A6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1100,00</w:t>
            </w:r>
          </w:p>
        </w:tc>
        <w:tc>
          <w:tcPr>
            <w:tcW w:w="1701" w:type="dxa"/>
          </w:tcPr>
          <w:p w14:paraId="10AEF33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лікування</w:t>
            </w:r>
          </w:p>
        </w:tc>
      </w:tr>
      <w:tr w:rsidR="00DA6332" w:rsidRPr="00CF0EA3" w14:paraId="3BD3D618" w14:textId="77777777" w:rsidTr="00CF0EA3">
        <w:trPr>
          <w:gridAfter w:val="2"/>
          <w:wAfter w:w="113" w:type="dxa"/>
        </w:trPr>
        <w:tc>
          <w:tcPr>
            <w:tcW w:w="536" w:type="dxa"/>
            <w:tcBorders>
              <w:top w:val="nil"/>
              <w:bottom w:val="nil"/>
            </w:tcBorders>
          </w:tcPr>
          <w:p w14:paraId="0AE7F12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7F1A32A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16009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2.4.Придбання матеріалів, будівельних матеріалів,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інвентарю та інструментів для проведення ремонтних робіт господарським способом</w:t>
            </w:r>
          </w:p>
          <w:p w14:paraId="0621102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75483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611C1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2025-2027 р.</w:t>
            </w:r>
          </w:p>
        </w:tc>
        <w:tc>
          <w:tcPr>
            <w:tcW w:w="1134" w:type="dxa"/>
          </w:tcPr>
          <w:p w14:paraId="438030B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нська ЦРЛ»</w:t>
            </w:r>
          </w:p>
          <w:p w14:paraId="27DAC94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1" w:type="dxa"/>
          </w:tcPr>
          <w:p w14:paraId="0F699ED7" w14:textId="1C1B4E15" w:rsidR="00DA6332" w:rsidRPr="00CF0EA3" w:rsidRDefault="004553E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134" w:type="dxa"/>
          </w:tcPr>
          <w:p w14:paraId="61FF47F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79A35B" w14:textId="230357BB" w:rsidR="00DA6332" w:rsidRPr="00CF0EA3" w:rsidRDefault="006B641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500,00</w:t>
            </w:r>
          </w:p>
          <w:p w14:paraId="6A7CA9D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B8D218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004D2D1D" w14:textId="69968187" w:rsidR="00DA6332" w:rsidRPr="00CF0EA3" w:rsidRDefault="006B641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134" w:type="dxa"/>
          </w:tcPr>
          <w:p w14:paraId="2BC873E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13FC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276" w:type="dxa"/>
          </w:tcPr>
          <w:p w14:paraId="4DB871DB" w14:textId="77777777" w:rsidR="00DA6332" w:rsidRPr="00CF0EA3" w:rsidRDefault="00DA6332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</w:p>
          <w:p w14:paraId="37F4CC2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701" w:type="dxa"/>
          </w:tcPr>
          <w:p w14:paraId="4549D09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умов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перебування хворих</w:t>
            </w:r>
          </w:p>
        </w:tc>
      </w:tr>
      <w:tr w:rsidR="00C862A8" w:rsidRPr="00CF0EA3" w14:paraId="58E76299" w14:textId="77777777" w:rsidTr="00C862A8">
        <w:trPr>
          <w:gridAfter w:val="2"/>
          <w:wAfter w:w="113" w:type="dxa"/>
          <w:trHeight w:val="825"/>
        </w:trPr>
        <w:tc>
          <w:tcPr>
            <w:tcW w:w="536" w:type="dxa"/>
            <w:vMerge w:val="restart"/>
            <w:tcBorders>
              <w:top w:val="nil"/>
            </w:tcBorders>
          </w:tcPr>
          <w:p w14:paraId="6014DEDB" w14:textId="77777777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 w:val="restart"/>
            <w:tcBorders>
              <w:top w:val="nil"/>
            </w:tcBorders>
          </w:tcPr>
          <w:p w14:paraId="1BB64EA1" w14:textId="77777777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3BF32C83" w14:textId="1B04EF83" w:rsidR="00C862A8" w:rsidRPr="00CF0EA3" w:rsidRDefault="00C862A8" w:rsidP="00451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2.5. Реконструкція ліфта</w:t>
            </w:r>
            <w:r w:rsidR="0045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Козятинській ЦРЛ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(грант Вінницької обласної ради «Безпечні стійкі громади» у 2025 році.</w:t>
            </w:r>
          </w:p>
        </w:tc>
        <w:tc>
          <w:tcPr>
            <w:tcW w:w="992" w:type="dxa"/>
            <w:vMerge w:val="restart"/>
          </w:tcPr>
          <w:p w14:paraId="7AFF7601" w14:textId="2A2934BA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134" w:type="dxa"/>
            <w:vMerge w:val="restart"/>
          </w:tcPr>
          <w:p w14:paraId="4779D213" w14:textId="77777777" w:rsidR="00C862A8" w:rsidRPr="00CF0EA3" w:rsidRDefault="00C862A8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355EEB17" w14:textId="77777777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156DAC65" w14:textId="03671131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69" w:type="dxa"/>
            <w:gridSpan w:val="2"/>
          </w:tcPr>
          <w:p w14:paraId="6693991E" w14:textId="58DE02A1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099" w:type="dxa"/>
          </w:tcPr>
          <w:p w14:paraId="4766148D" w14:textId="24C63A24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322F3A58" w14:textId="2EE1E714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580BA66C" w14:textId="38AA6039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vMerge w:val="restart"/>
          </w:tcPr>
          <w:p w14:paraId="51FC58CC" w14:textId="7B0D4AAC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2A8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C862A8" w:rsidRPr="00CF0EA3" w14:paraId="2C521EAE" w14:textId="77777777" w:rsidTr="00C862A8">
        <w:trPr>
          <w:gridAfter w:val="2"/>
          <w:wAfter w:w="113" w:type="dxa"/>
          <w:trHeight w:val="824"/>
        </w:trPr>
        <w:tc>
          <w:tcPr>
            <w:tcW w:w="536" w:type="dxa"/>
            <w:vMerge/>
            <w:tcBorders>
              <w:bottom w:val="nil"/>
            </w:tcBorders>
          </w:tcPr>
          <w:p w14:paraId="6827F834" w14:textId="77777777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bottom w:val="nil"/>
            </w:tcBorders>
          </w:tcPr>
          <w:p w14:paraId="6069CFC3" w14:textId="77777777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5442C1" w14:textId="77777777" w:rsidR="00C862A8" w:rsidRDefault="00C862A8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991DAEC" w14:textId="77777777" w:rsidR="00C862A8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6B8896C1" w14:textId="77777777" w:rsidR="00C862A8" w:rsidRPr="00CF0EA3" w:rsidRDefault="00C862A8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1AE2C742" w14:textId="370D4E40" w:rsidR="00C862A8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</w:t>
            </w:r>
          </w:p>
          <w:p w14:paraId="720C503D" w14:textId="0902E0E2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169" w:type="dxa"/>
            <w:gridSpan w:val="2"/>
          </w:tcPr>
          <w:p w14:paraId="37CE2776" w14:textId="5817D153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099" w:type="dxa"/>
          </w:tcPr>
          <w:p w14:paraId="7ACCA312" w14:textId="211E9FB7" w:rsidR="00C862A8" w:rsidRPr="00CF0EA3" w:rsidRDefault="00C862A8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1798D524" w14:textId="2B6ABB90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4CBA783" w14:textId="7B3A4D89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vMerge/>
          </w:tcPr>
          <w:p w14:paraId="03E61221" w14:textId="77777777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332" w:rsidRPr="00CF0EA3" w14:paraId="06234AB5" w14:textId="77777777" w:rsidTr="00CF0EA3">
        <w:trPr>
          <w:gridAfter w:val="2"/>
          <w:wAfter w:w="113" w:type="dxa"/>
        </w:trPr>
        <w:tc>
          <w:tcPr>
            <w:tcW w:w="536" w:type="dxa"/>
            <w:tcBorders>
              <w:top w:val="nil"/>
              <w:bottom w:val="nil"/>
            </w:tcBorders>
          </w:tcPr>
          <w:p w14:paraId="48C93B1F" w14:textId="77777777" w:rsidR="00DA6332" w:rsidRPr="00937D60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6AEDFD62" w14:textId="77777777" w:rsidR="00DA6332" w:rsidRPr="00937D60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дотримання норм законодавства про працю</w:t>
            </w:r>
          </w:p>
        </w:tc>
        <w:tc>
          <w:tcPr>
            <w:tcW w:w="2977" w:type="dxa"/>
          </w:tcPr>
          <w:p w14:paraId="471E92BC" w14:textId="77777777" w:rsidR="00DA6332" w:rsidRPr="00CF0EA3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Погашення простроченої кредиторської заборгованості по заробітній платі за 2024 рік</w:t>
            </w:r>
          </w:p>
        </w:tc>
        <w:tc>
          <w:tcPr>
            <w:tcW w:w="992" w:type="dxa"/>
          </w:tcPr>
          <w:p w14:paraId="7AF01321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134" w:type="dxa"/>
          </w:tcPr>
          <w:p w14:paraId="671ADB36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0C589B22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1" w:type="dxa"/>
          </w:tcPr>
          <w:p w14:paraId="3E442C2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585E0AD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  <w:gridSpan w:val="2"/>
          </w:tcPr>
          <w:p w14:paraId="2AD1AE1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</w:tcPr>
          <w:p w14:paraId="490FC094" w14:textId="77777777" w:rsidR="00DA6332" w:rsidRPr="005649D3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0</w:t>
            </w:r>
          </w:p>
        </w:tc>
        <w:tc>
          <w:tcPr>
            <w:tcW w:w="1276" w:type="dxa"/>
          </w:tcPr>
          <w:p w14:paraId="7C5BD803" w14:textId="77777777" w:rsidR="00DA6332" w:rsidRPr="00CF0EA3" w:rsidRDefault="005649D3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 xml:space="preserve">    0</w:t>
            </w:r>
          </w:p>
        </w:tc>
        <w:tc>
          <w:tcPr>
            <w:tcW w:w="1701" w:type="dxa"/>
          </w:tcPr>
          <w:p w14:paraId="6A7ADAA8" w14:textId="77777777" w:rsidR="00DA6332" w:rsidRPr="00CF0EA3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виплата заробітної плати</w:t>
            </w:r>
          </w:p>
        </w:tc>
      </w:tr>
      <w:tr w:rsidR="00DA6332" w:rsidRPr="00CF0EA3" w14:paraId="5CD837E9" w14:textId="77777777" w:rsidTr="00CF0EA3">
        <w:trPr>
          <w:gridAfter w:val="2"/>
          <w:wAfter w:w="113" w:type="dxa"/>
        </w:trPr>
        <w:tc>
          <w:tcPr>
            <w:tcW w:w="536" w:type="dxa"/>
            <w:tcBorders>
              <w:top w:val="nil"/>
              <w:bottom w:val="nil"/>
            </w:tcBorders>
          </w:tcPr>
          <w:p w14:paraId="12F5B5E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775048F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0B203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6BDFAFB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F6552E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6D2B3EB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F11CC9F" w14:textId="4E685E4B" w:rsidR="00DA6332" w:rsidRPr="00CF0EA3" w:rsidRDefault="00DA6332" w:rsidP="006B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15B8F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  <w:r w:rsidR="00EB48B9">
              <w:rPr>
                <w:rFonts w:ascii="Times New Roman" w:hAnsi="Times New Roman"/>
                <w:sz w:val="24"/>
                <w:szCs w:val="24"/>
                <w:lang w:val="uk-UA"/>
              </w:rPr>
              <w:t>631,6</w:t>
            </w:r>
          </w:p>
        </w:tc>
        <w:tc>
          <w:tcPr>
            <w:tcW w:w="1134" w:type="dxa"/>
            <w:gridSpan w:val="2"/>
          </w:tcPr>
          <w:p w14:paraId="58E3B704" w14:textId="12B0693A" w:rsidR="00DA6332" w:rsidRPr="00CF0EA3" w:rsidRDefault="00461D1D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  <w:r w:rsidR="00EB48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024</w:t>
            </w:r>
            <w:r w:rsidR="00DA6332" w:rsidRPr="00CF0E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 w:rsidR="00DA633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F10AB1" w14:textId="7A063227" w:rsidR="00DA6332" w:rsidRPr="00CF0EA3" w:rsidRDefault="00EB48B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48299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276" w:type="dxa"/>
          </w:tcPr>
          <w:p w14:paraId="6433F3E7" w14:textId="18E330A7" w:rsidR="00DA6332" w:rsidRPr="00CF0EA3" w:rsidRDefault="00EB48B9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51307</w:t>
            </w:r>
            <w:r w:rsidR="00DA6332" w:rsidRPr="00CF0EA3">
              <w:rPr>
                <w:rStyle w:val="FontStyle11"/>
                <w:sz w:val="24"/>
                <w:szCs w:val="24"/>
                <w:lang w:val="uk-UA"/>
              </w:rPr>
              <w:t>,8</w:t>
            </w:r>
          </w:p>
        </w:tc>
        <w:tc>
          <w:tcPr>
            <w:tcW w:w="1701" w:type="dxa"/>
          </w:tcPr>
          <w:p w14:paraId="3820C95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A6332" w:rsidRPr="00CF0EA3" w14:paraId="1C0F283C" w14:textId="77777777" w:rsidTr="00CF0EA3">
        <w:trPr>
          <w:gridAfter w:val="2"/>
          <w:wAfter w:w="113" w:type="dxa"/>
        </w:trPr>
        <w:tc>
          <w:tcPr>
            <w:tcW w:w="536" w:type="dxa"/>
            <w:tcBorders>
              <w:top w:val="nil"/>
            </w:tcBorders>
          </w:tcPr>
          <w:p w14:paraId="6DE5DFC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14:paraId="26C6B1F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A6B8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29F4C04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D8188D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5D6C3FA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CD3D54C" w14:textId="4F43280D" w:rsidR="00DA6332" w:rsidRPr="00CF0EA3" w:rsidRDefault="00DA6332" w:rsidP="006474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61D1D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="00EB48B9">
              <w:rPr>
                <w:rFonts w:ascii="Times New Roman" w:hAnsi="Times New Roman"/>
                <w:sz w:val="24"/>
                <w:szCs w:val="24"/>
                <w:lang w:val="uk-UA"/>
              </w:rPr>
              <w:t>415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14:paraId="05AA8B58" w14:textId="6286D1D8" w:rsidR="00DA6332" w:rsidRPr="00CF0EA3" w:rsidRDefault="00EB48B9" w:rsidP="006474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461D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619,2</w:t>
            </w:r>
          </w:p>
        </w:tc>
        <w:tc>
          <w:tcPr>
            <w:tcW w:w="1134" w:type="dxa"/>
          </w:tcPr>
          <w:p w14:paraId="7AB0746D" w14:textId="5AAA23E6" w:rsidR="00DA6332" w:rsidRPr="00CF0EA3" w:rsidRDefault="00EB48B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53893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1276" w:type="dxa"/>
          </w:tcPr>
          <w:p w14:paraId="5E6F620C" w14:textId="63F05C94" w:rsidR="00DA6332" w:rsidRPr="00CF0EA3" w:rsidRDefault="00EB48B9" w:rsidP="00EB48B9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56902,3</w:t>
            </w:r>
          </w:p>
        </w:tc>
        <w:tc>
          <w:tcPr>
            <w:tcW w:w="1701" w:type="dxa"/>
          </w:tcPr>
          <w:p w14:paraId="7211484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0C874843" w14:textId="77777777" w:rsidR="00DA6332" w:rsidRDefault="00DA6332">
      <w:pPr>
        <w:rPr>
          <w:lang w:val="uk-UA"/>
        </w:rPr>
      </w:pPr>
    </w:p>
    <w:sectPr w:rsidR="00DA6332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113A6"/>
    <w:rsid w:val="00020277"/>
    <w:rsid w:val="0006529F"/>
    <w:rsid w:val="00074289"/>
    <w:rsid w:val="00077DBE"/>
    <w:rsid w:val="000940C4"/>
    <w:rsid w:val="000A4F49"/>
    <w:rsid w:val="000E657B"/>
    <w:rsid w:val="00104E5D"/>
    <w:rsid w:val="00105DAA"/>
    <w:rsid w:val="00142436"/>
    <w:rsid w:val="001853B7"/>
    <w:rsid w:val="00191C88"/>
    <w:rsid w:val="001943E4"/>
    <w:rsid w:val="001A0ADF"/>
    <w:rsid w:val="001B37AB"/>
    <w:rsid w:val="001E518D"/>
    <w:rsid w:val="00201A9D"/>
    <w:rsid w:val="002307B1"/>
    <w:rsid w:val="00240B6D"/>
    <w:rsid w:val="002F65B9"/>
    <w:rsid w:val="00350AFB"/>
    <w:rsid w:val="00352FF4"/>
    <w:rsid w:val="0035648B"/>
    <w:rsid w:val="00363E0E"/>
    <w:rsid w:val="003818B9"/>
    <w:rsid w:val="00395004"/>
    <w:rsid w:val="00395482"/>
    <w:rsid w:val="003B2906"/>
    <w:rsid w:val="00415B8F"/>
    <w:rsid w:val="0044520A"/>
    <w:rsid w:val="0045123C"/>
    <w:rsid w:val="004553E8"/>
    <w:rsid w:val="00461D1D"/>
    <w:rsid w:val="004B6FFF"/>
    <w:rsid w:val="004C2578"/>
    <w:rsid w:val="004D248C"/>
    <w:rsid w:val="004E6B22"/>
    <w:rsid w:val="00547F1C"/>
    <w:rsid w:val="005536E5"/>
    <w:rsid w:val="005649D3"/>
    <w:rsid w:val="005653E0"/>
    <w:rsid w:val="005773D8"/>
    <w:rsid w:val="0058408A"/>
    <w:rsid w:val="005946AF"/>
    <w:rsid w:val="00605E56"/>
    <w:rsid w:val="0064305A"/>
    <w:rsid w:val="00647414"/>
    <w:rsid w:val="00685F77"/>
    <w:rsid w:val="00690132"/>
    <w:rsid w:val="00690163"/>
    <w:rsid w:val="00693AE6"/>
    <w:rsid w:val="0069486F"/>
    <w:rsid w:val="006A0B12"/>
    <w:rsid w:val="006B41E9"/>
    <w:rsid w:val="006B4AD9"/>
    <w:rsid w:val="006B6415"/>
    <w:rsid w:val="006B7FA2"/>
    <w:rsid w:val="006E4A02"/>
    <w:rsid w:val="006E742E"/>
    <w:rsid w:val="007341E1"/>
    <w:rsid w:val="00736B61"/>
    <w:rsid w:val="00750A3E"/>
    <w:rsid w:val="007C3183"/>
    <w:rsid w:val="007F2FB4"/>
    <w:rsid w:val="008139BE"/>
    <w:rsid w:val="00880398"/>
    <w:rsid w:val="0089415D"/>
    <w:rsid w:val="008964EE"/>
    <w:rsid w:val="008C50D5"/>
    <w:rsid w:val="008D6782"/>
    <w:rsid w:val="008E3320"/>
    <w:rsid w:val="009053EF"/>
    <w:rsid w:val="0092683E"/>
    <w:rsid w:val="00937D60"/>
    <w:rsid w:val="0094122E"/>
    <w:rsid w:val="009615E1"/>
    <w:rsid w:val="009B165E"/>
    <w:rsid w:val="00A05E8C"/>
    <w:rsid w:val="00A22336"/>
    <w:rsid w:val="00A63C60"/>
    <w:rsid w:val="00A877A3"/>
    <w:rsid w:val="00A87943"/>
    <w:rsid w:val="00AA34C5"/>
    <w:rsid w:val="00B02084"/>
    <w:rsid w:val="00B3555B"/>
    <w:rsid w:val="00B41D25"/>
    <w:rsid w:val="00B66846"/>
    <w:rsid w:val="00B668E0"/>
    <w:rsid w:val="00B822C9"/>
    <w:rsid w:val="00B92804"/>
    <w:rsid w:val="00BA09CC"/>
    <w:rsid w:val="00BB6B60"/>
    <w:rsid w:val="00BC1E8F"/>
    <w:rsid w:val="00C65EC2"/>
    <w:rsid w:val="00C7311B"/>
    <w:rsid w:val="00C840FE"/>
    <w:rsid w:val="00C862A8"/>
    <w:rsid w:val="00CA4D0D"/>
    <w:rsid w:val="00CD2ECC"/>
    <w:rsid w:val="00CE1CC9"/>
    <w:rsid w:val="00CF0EA3"/>
    <w:rsid w:val="00D3158E"/>
    <w:rsid w:val="00D50A05"/>
    <w:rsid w:val="00D50F4C"/>
    <w:rsid w:val="00D611F7"/>
    <w:rsid w:val="00D73565"/>
    <w:rsid w:val="00DA6332"/>
    <w:rsid w:val="00DC7DBD"/>
    <w:rsid w:val="00E33A8B"/>
    <w:rsid w:val="00E45D7F"/>
    <w:rsid w:val="00E50E81"/>
    <w:rsid w:val="00E55AB1"/>
    <w:rsid w:val="00E66C78"/>
    <w:rsid w:val="00E673E9"/>
    <w:rsid w:val="00E779D0"/>
    <w:rsid w:val="00E979FC"/>
    <w:rsid w:val="00EB48B9"/>
    <w:rsid w:val="00F03B13"/>
    <w:rsid w:val="00F123E7"/>
    <w:rsid w:val="00F552D8"/>
    <w:rsid w:val="00F8270E"/>
    <w:rsid w:val="00F87537"/>
    <w:rsid w:val="00F87AB9"/>
    <w:rsid w:val="00FC72F2"/>
    <w:rsid w:val="00FD596F"/>
    <w:rsid w:val="00FF1C4B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5ECF8"/>
  <w15:docId w15:val="{ABC16D6C-BE65-4FF6-8D55-1525EE3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1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690132"/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9486F"/>
    <w:pPr>
      <w:ind w:left="720"/>
      <w:contextualSpacing/>
    </w:pPr>
  </w:style>
  <w:style w:type="paragraph" w:customStyle="1" w:styleId="Style1">
    <w:name w:val="Style1"/>
    <w:basedOn w:val="a"/>
    <w:uiPriority w:val="99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9486F"/>
    <w:rPr>
      <w:rFonts w:ascii="Times New Roman" w:hAnsi="Times New Roman"/>
      <w:spacing w:val="20"/>
      <w:sz w:val="30"/>
    </w:rPr>
  </w:style>
  <w:style w:type="character" w:customStyle="1" w:styleId="FontStyle12">
    <w:name w:val="Font Style12"/>
    <w:uiPriority w:val="99"/>
    <w:rsid w:val="00BA09CC"/>
    <w:rPr>
      <w:rFonts w:ascii="Times New Roman" w:hAnsi="Times New Roman"/>
      <w:sz w:val="26"/>
    </w:rPr>
  </w:style>
  <w:style w:type="character" w:styleId="a5">
    <w:name w:val="Intense Emphasis"/>
    <w:basedOn w:val="a0"/>
    <w:uiPriority w:val="99"/>
    <w:qFormat/>
    <w:rsid w:val="00BA09CC"/>
    <w:rPr>
      <w:b/>
      <w:i/>
      <w:color w:val="4F81BD"/>
    </w:rPr>
  </w:style>
  <w:style w:type="character" w:customStyle="1" w:styleId="a6">
    <w:name w:val="Основной текст_"/>
    <w:link w:val="1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7">
    <w:name w:val="Другое_"/>
    <w:link w:val="a8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customStyle="1" w:styleId="a8">
    <w:name w:val="Другое"/>
    <w:basedOn w:val="a"/>
    <w:link w:val="a7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2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2025-04-23T08:09:00Z</cp:lastPrinted>
  <dcterms:created xsi:type="dcterms:W3CDTF">2025-05-12T06:41:00Z</dcterms:created>
  <dcterms:modified xsi:type="dcterms:W3CDTF">2025-05-12T06:41:00Z</dcterms:modified>
</cp:coreProperties>
</file>