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631"/>
        <w:gridCol w:w="12838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29AA7BB1" w:rsidR="000358FC" w:rsidRPr="008037ED" w:rsidRDefault="00BB596D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6" w:history="1">
              <w:proofErr w:type="spellStart"/>
              <w:r w:rsidRPr="00BB596D">
                <w:rPr>
                  <w:rStyle w:val="a5"/>
                </w:rPr>
                <w:t>Автомобіль</w:t>
              </w:r>
              <w:proofErr w:type="spellEnd"/>
              <w:r w:rsidRPr="00BB596D">
                <w:rPr>
                  <w:rStyle w:val="a5"/>
                </w:rPr>
                <w:t xml:space="preserve"> типу </w:t>
              </w:r>
              <w:proofErr w:type="spellStart"/>
              <w:r w:rsidRPr="00BB596D">
                <w:rPr>
                  <w:rStyle w:val="a5"/>
                </w:rPr>
                <w:t>пікап</w:t>
              </w:r>
              <w:proofErr w:type="spellEnd"/>
              <w:r w:rsidRPr="00BB596D">
                <w:rPr>
                  <w:rStyle w:val="a5"/>
                </w:rPr>
                <w:t xml:space="preserve"> Peugeot </w:t>
              </w:r>
              <w:proofErr w:type="spellStart"/>
              <w:r w:rsidRPr="00BB596D">
                <w:rPr>
                  <w:rStyle w:val="a5"/>
                </w:rPr>
                <w:t>Landtrek</w:t>
              </w:r>
              <w:proofErr w:type="spellEnd"/>
              <w:r w:rsidRPr="00BB596D">
                <w:rPr>
                  <w:rStyle w:val="a5"/>
                </w:rPr>
                <w:t xml:space="preserve"> (</w:t>
              </w:r>
              <w:proofErr w:type="spellStart"/>
              <w:r w:rsidRPr="00BB596D">
                <w:rPr>
                  <w:rStyle w:val="a5"/>
                </w:rPr>
                <w:t>або</w:t>
              </w:r>
              <w:proofErr w:type="spellEnd"/>
              <w:r w:rsidRPr="00BB596D">
                <w:rPr>
                  <w:rStyle w:val="a5"/>
                </w:rPr>
                <w:t xml:space="preserve"> </w:t>
              </w:r>
              <w:proofErr w:type="spellStart"/>
              <w:r w:rsidRPr="00BB596D">
                <w:rPr>
                  <w:rStyle w:val="a5"/>
                </w:rPr>
                <w:t>еквівалент</w:t>
              </w:r>
              <w:proofErr w:type="spellEnd"/>
              <w:r w:rsidRPr="00BB596D">
                <w:rPr>
                  <w:rStyle w:val="a5"/>
                </w:rPr>
                <w:t xml:space="preserve">) для потреб ЗСУ Код ДК 021:2015: 34130000-7 </w:t>
              </w:r>
              <w:proofErr w:type="spellStart"/>
              <w:r w:rsidRPr="00BB596D">
                <w:rPr>
                  <w:rStyle w:val="a5"/>
                </w:rPr>
                <w:t>Мототранспортні</w:t>
              </w:r>
              <w:proofErr w:type="spellEnd"/>
              <w:r w:rsidRPr="00BB596D">
                <w:rPr>
                  <w:rStyle w:val="a5"/>
                </w:rPr>
                <w:t xml:space="preserve"> </w:t>
              </w:r>
              <w:proofErr w:type="spellStart"/>
              <w:r w:rsidRPr="00BB596D">
                <w:rPr>
                  <w:rStyle w:val="a5"/>
                </w:rPr>
                <w:t>вантажні</w:t>
              </w:r>
              <w:proofErr w:type="spellEnd"/>
              <w:r w:rsidRPr="00BB596D">
                <w:rPr>
                  <w:rStyle w:val="a5"/>
                </w:rPr>
                <w:t xml:space="preserve"> </w:t>
              </w:r>
              <w:proofErr w:type="spellStart"/>
              <w:r w:rsidRPr="00BB596D">
                <w:rPr>
                  <w:rStyle w:val="a5"/>
                </w:rPr>
                <w:t>засоби</w:t>
              </w:r>
              <w:proofErr w:type="spellEnd"/>
              <w:r w:rsidRPr="00BB596D">
                <w:rPr>
                  <w:rStyle w:val="a5"/>
                </w:rPr>
                <w:t xml:space="preserve"> (34131000-4 – </w:t>
              </w:r>
              <w:proofErr w:type="spellStart"/>
              <w:r w:rsidRPr="00BB596D">
                <w:rPr>
                  <w:rStyle w:val="a5"/>
                </w:rPr>
                <w:t>Пікапи</w:t>
              </w:r>
              <w:proofErr w:type="spellEnd"/>
              <w:r w:rsidRPr="00BB596D">
                <w:rPr>
                  <w:rStyle w:val="a5"/>
                </w:rPr>
                <w:t>)</w:t>
              </w:r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7149C7FC" w:rsidR="000358FC" w:rsidRPr="00A34818" w:rsidRDefault="00DD55CB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D55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UA-2025-10-29-012983-a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963E18F" w14:textId="77777777" w:rsidR="00A06779" w:rsidRPr="00D57DB1" w:rsidRDefault="00A06779" w:rsidP="00A0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Місце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37D11785" w14:textId="541A8040" w:rsidR="00A06779" w:rsidRPr="00D57DB1" w:rsidRDefault="00A06779" w:rsidP="00A06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="00DD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6B802AB9" w14:textId="77777777" w:rsidR="00A06779" w:rsidRDefault="00A06779" w:rsidP="00A0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</w:t>
            </w:r>
            <w:proofErr w:type="spellEnd"/>
          </w:p>
          <w:p w14:paraId="2EF3DA24" w14:textId="629076E7" w:rsidR="00A06779" w:rsidRPr="00D57DB1" w:rsidRDefault="00A06779" w:rsidP="00A0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Товар повинен бути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DD55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випуску</w:t>
            </w:r>
            <w:proofErr w:type="spellEnd"/>
          </w:p>
          <w:p w14:paraId="5C047650" w14:textId="77777777" w:rsidR="00A06779" w:rsidRPr="00D57DB1" w:rsidRDefault="00A06779" w:rsidP="00A0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BAFBC" w14:textId="77777777" w:rsidR="00A06779" w:rsidRPr="00110095" w:rsidRDefault="00A06779" w:rsidP="00A0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Закупівля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для потреб ЗСУ.</w:t>
            </w:r>
            <w:r w:rsidRPr="00BD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3 постанови КМУ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2022 р. № 1178 "Про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”,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стану в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скасування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6-1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X “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Прикінцеві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перехідні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 Закону не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товару для потреб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Сил,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правоохоронних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запит з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подальшою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передачею таких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запитувача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41C4E" w14:textId="77777777" w:rsidR="00BB596D" w:rsidRDefault="00BB596D" w:rsidP="00BB596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Обґрунтування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конкретного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тип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конкретну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модель/марку товару є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необхідним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оскільки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якісними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характеристиками товар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цієї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компанії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є таким,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максимально точно та оптимально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відповідає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вимогам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потребам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замовника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отриманого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запиту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щодо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потреби.</w:t>
            </w:r>
          </w:p>
          <w:p w14:paraId="59E8B2B4" w14:textId="77777777" w:rsidR="00A06779" w:rsidRPr="00A06779" w:rsidRDefault="00A06779" w:rsidP="00BB596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0068EE8" w14:textId="77777777" w:rsidR="00DD55CB" w:rsidRDefault="00DD55CB" w:rsidP="00DD55CB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1.Т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66A52369" w14:textId="77777777" w:rsidR="00DD55CB" w:rsidRDefault="00DD55CB" w:rsidP="00DD55CB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"/>
              <w:gridCol w:w="1283"/>
              <w:gridCol w:w="7842"/>
              <w:gridCol w:w="850"/>
              <w:gridCol w:w="893"/>
              <w:gridCol w:w="1142"/>
            </w:tblGrid>
            <w:tr w:rsidR="00DD55CB" w:rsidRPr="0057258A" w14:paraId="7E4DD283" w14:textId="77777777" w:rsidTr="008A6423">
              <w:trPr>
                <w:trHeight w:val="1226"/>
                <w:jc w:val="center"/>
              </w:trPr>
              <w:tc>
                <w:tcPr>
                  <w:tcW w:w="562" w:type="dxa"/>
                </w:tcPr>
                <w:p w14:paraId="684C6EC6" w14:textId="77777777" w:rsidR="00DD55CB" w:rsidRPr="0057258A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843" w:type="dxa"/>
                </w:tcPr>
                <w:p w14:paraId="574296E4" w14:textId="77777777" w:rsidR="00DD55CB" w:rsidRPr="0057258A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528" w:type="dxa"/>
                </w:tcPr>
                <w:p w14:paraId="30A3976C" w14:textId="77777777" w:rsidR="00DD55CB" w:rsidRPr="0057258A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0EF4E7F9" w14:textId="77777777" w:rsidR="00DD55CB" w:rsidRPr="0057258A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6473F7D9" w14:textId="77777777" w:rsidR="00DD55CB" w:rsidRPr="0057258A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18" w:type="dxa"/>
                </w:tcPr>
                <w:p w14:paraId="4FF8291B" w14:textId="77777777" w:rsidR="00DD55CB" w:rsidRPr="0057258A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DD55CB" w:rsidRPr="0057258A" w14:paraId="1A40A5CF" w14:textId="77777777" w:rsidTr="008A6423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0A91E667" w14:textId="77777777" w:rsidR="00DD55CB" w:rsidRPr="00316EC3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D55CB" w:rsidRPr="0057258A" w14:paraId="436F09DA" w14:textId="77777777" w:rsidTr="008A6423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562" w:type="dxa"/>
                  <w:vAlign w:val="center"/>
                </w:tcPr>
                <w:p w14:paraId="3D25A601" w14:textId="77777777" w:rsidR="00DD55CB" w:rsidRPr="0057258A" w:rsidRDefault="00DD55CB" w:rsidP="00DD55CB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5E49DB" w14:textId="77777777" w:rsidR="00DD55CB" w:rsidRPr="006A6E0F" w:rsidRDefault="00DD55CB" w:rsidP="00DD55CB">
                  <w:pPr>
                    <w:spacing w:after="0" w:line="240" w:lineRule="auto"/>
                    <w:jc w:val="center"/>
                  </w:pP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Автомобіль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типу 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пікап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Peugeot 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Landtrek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або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еквівалент</w:t>
                  </w:r>
                  <w:proofErr w:type="spellEnd"/>
                </w:p>
              </w:tc>
              <w:tc>
                <w:tcPr>
                  <w:tcW w:w="5528" w:type="dxa"/>
                  <w:vAlign w:val="center"/>
                </w:tcPr>
                <w:tbl>
                  <w:tblPr>
                    <w:tblW w:w="1034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62"/>
                    <w:gridCol w:w="4793"/>
                    <w:gridCol w:w="2693"/>
                  </w:tblGrid>
                  <w:tr w:rsidR="00DD55CB" w14:paraId="06D847C1" w14:textId="77777777" w:rsidTr="008A6423">
                    <w:trPr>
                      <w:trHeight w:val="23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4443A1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Тип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автомобіля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8745A0B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Пікап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2AF36DB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1A5DC2DB" w14:textId="77777777" w:rsidTr="008A6423">
                    <w:trPr>
                      <w:trHeight w:val="21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245629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Кабіна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AE3625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Подвійна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041762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03C58E3A" w14:textId="77777777" w:rsidTr="008A6423">
                    <w:trPr>
                      <w:trHeight w:val="21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A091092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Кількість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місць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8CD6FA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C423A5B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5534F026" w14:textId="77777777" w:rsidTr="008A6423">
                    <w:trPr>
                      <w:trHeight w:val="22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CEE0064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Двигун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191D47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>дизель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28FE445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2A8D9EE5" w14:textId="77777777" w:rsidTr="008A6423">
                    <w:trPr>
                      <w:trHeight w:val="251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AEDCDC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Вантажопідйомність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пікапа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, кг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FFC1B5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990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5B0CBF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30A9F455" w14:textId="77777777" w:rsidTr="008A6423">
                    <w:trPr>
                      <w:trHeight w:val="212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6157AB4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Потужність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двигуна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к.с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111181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150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7D710B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3D3756FB" w14:textId="77777777" w:rsidTr="008A6423">
                    <w:trPr>
                      <w:trHeight w:val="18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30F3A4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Робочий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об’єм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см.куб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A3B374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1900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CC50400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51D2FF3E" w14:textId="77777777" w:rsidTr="008A6423">
                    <w:trPr>
                      <w:trHeight w:val="52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F10B30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Габаритні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розміри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довжина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/ширина без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дзеркал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/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висота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EAFDC59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5330/1963/1897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BA4F18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C84A3FA" w14:textId="77777777" w:rsidTr="008A6423">
                    <w:trPr>
                      <w:trHeight w:val="340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696CBA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lastRenderedPageBreak/>
                          <w:t>Розміри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кузова (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ДхШхВ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20EE51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1590/1590/490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07751A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A55E9E7" w14:textId="77777777" w:rsidTr="008A6423">
                    <w:trPr>
                      <w:trHeight w:val="244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79387A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Колісна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база,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1C83012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3100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7E8D59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35677545" w14:textId="77777777" w:rsidTr="008A6423">
                    <w:trPr>
                      <w:trHeight w:val="24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CFB0EAB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Кліренс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66EA87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235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E4197B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BE669DA" w14:textId="77777777" w:rsidTr="008A6423">
                    <w:trPr>
                      <w:trHeight w:val="24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D0AADB5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Глибина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броду,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DB6EA3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600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D435A2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0336B152" w14:textId="77777777" w:rsidTr="008A6423">
                    <w:trPr>
                      <w:trHeight w:val="238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177A862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Привід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683AFC9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повний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4FB995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BD38322" w14:textId="77777777" w:rsidTr="008A6423">
                    <w:trPr>
                      <w:trHeight w:val="238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43D3CE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Примусове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блокування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заднього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міжколісного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диференціалу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C573B6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98E86B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662E8098" w14:textId="77777777" w:rsidTr="008A6423">
                    <w:trPr>
                      <w:trHeight w:val="472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C5A88F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Трансмісія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8454ED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механічна</w:t>
                        </w:r>
                        <w:proofErr w:type="spellEnd"/>
                      </w:p>
                      <w:p w14:paraId="65EF33AC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6 передач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49E40F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6EAEB2D8" w14:textId="77777777" w:rsidTr="008A6423">
                    <w:trPr>
                      <w:trHeight w:val="223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1082AA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Передні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гальма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158FD9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вентильовані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диски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E0486A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766B64AE" w14:textId="77777777" w:rsidTr="008A6423">
                    <w:trPr>
                      <w:trHeight w:val="223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F10042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Задні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гальма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47D07F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дискові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BA8665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0B8729A7" w14:textId="77777777" w:rsidTr="008A6423">
                    <w:trPr>
                      <w:trHeight w:val="226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1026D30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Задня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підвіска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5237539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нерозрізний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міст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5C54DAA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на 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ресорах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E563049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DDC526D" w14:textId="77777777" w:rsidTr="008A6423">
                    <w:trPr>
                      <w:trHeight w:val="217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B55A9E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Передня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підвіска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0650D7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Незалежна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на 4 </w:t>
                        </w:r>
                      </w:p>
                      <w:p w14:paraId="3FC3622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поперечних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ричагах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59A5C8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18EADC6E" w14:textId="77777777" w:rsidTr="008A6423">
                    <w:trPr>
                      <w:trHeight w:val="206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852FFF5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Ємність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бака для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пального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, л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332241C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80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5A0124C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101C1B84" w14:textId="77777777" w:rsidTr="008A6423">
                    <w:trPr>
                      <w:trHeight w:val="339"/>
                    </w:trPr>
                    <w:tc>
                      <w:tcPr>
                        <w:tcW w:w="76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517345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Комплектація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63EBE6C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66A14010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158481C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>АВ</w:t>
                        </w: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S</w:t>
                        </w: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-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антиблокувальна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система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гальм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, ЕВ</w:t>
                        </w: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D</w:t>
                        </w: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-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електронна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система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розподілу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гальмівних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зусиль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ESP</w:t>
                        </w: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-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електронна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система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стабілізації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, А</w:t>
                        </w: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SR-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антибуксувальна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система</w:t>
                        </w:r>
                      </w:p>
                      <w:p w14:paraId="52D313A4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+ </w:t>
                        </w: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Hill Start Assist</w:t>
                        </w: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- система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допомоги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при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рушанні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на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підйомі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6A560A2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178E97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245C8FE0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3238AB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Система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моніторингу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тиску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в шинах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58E6834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34049D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17CE27CD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E0839A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Блокування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заднього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диференціалу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C9874C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FC4466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70F215F6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AD9AE6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Круїз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-контроль з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обмежувачем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швидкості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C04717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181F07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01A65B53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241625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Система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попередження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lastRenderedPageBreak/>
                          <w:t>зміни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полоси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руху «</w:t>
                        </w:r>
                        <w:r w:rsidRPr="00DD55CB">
                          <w:rPr>
                            <w:rFonts w:ascii="Times New Roman" w:hAnsi="Times New Roman" w:cs="Times New Roman"/>
                            <w:lang w:val="en-US"/>
                          </w:rPr>
                          <w:t>Lane Departure Warning</w:t>
                        </w:r>
                        <w:r w:rsidRPr="00DD55CB">
                          <w:rPr>
                            <w:rFonts w:ascii="Times New Roman" w:hAnsi="Times New Roman" w:cs="Times New Roman"/>
                          </w:rPr>
                          <w:t>»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165D50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lastRenderedPageBreak/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AA972C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9BE081C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60A36B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Фронтальна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подушка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безпеки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водія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та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переднього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пасажира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0E3350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776F5B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5D622711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A49F9B5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Шторки+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бокові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подушки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безпеки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2FD5EE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D2FC9EB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197574CF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981AA32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Металевий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захист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двигуна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E6AECA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706584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17E444E6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A0EFAF2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Гідропідсилювач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керма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BBDF64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19DA58A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22B70DC1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B33F40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Двозонний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Клімат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-контроль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324EED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AEC9FB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BF95163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39759A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Задній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та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передній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датчики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паркування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, з камерою 360</w:t>
                        </w:r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  <w:lang w:val="en-US"/>
                          </w:rPr>
                          <w:t>°</w:t>
                        </w:r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градусів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огляду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056A8B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79360E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F0C7FB7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6B42A24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Мультимедійна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система з 10"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сенсорним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дисплеєм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спрямованим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до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водія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, три USB-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роз'єми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, MP3/5, Bluetooth, Mirror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Screen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(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Android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Auto, Apple Car Play)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8C1857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32AE127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0818F907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  <w:vAlign w:val="center"/>
                      </w:tcPr>
                      <w:p w14:paraId="2D8C74B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Мультифункціональне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кермо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  <w:vAlign w:val="center"/>
                      </w:tcPr>
                      <w:p w14:paraId="00662CC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AD1A7A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07FF260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116371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Зовнішні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дзеркала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заднього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огляду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з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електрорегулюванням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C4D4ED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CD773B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1055FBAB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782291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Підігрів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зовнішніх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дзеркала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заднього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огляду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7700804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FF04A10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2E0570F5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DA476E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highlight w:val="white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Передні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денні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ходові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LED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вогні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9728D6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AA8850E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0CAEBAF5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1CB3F0C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highlight w:val="white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Задні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денні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ходові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LED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вогні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D3E733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FD8011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5326F0F8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646F630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highlight w:val="white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Протитуманні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фари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B5F5739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3A1D9A1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35081AF5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7F7411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highlight w:val="white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Легкосплавні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колісні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диски R18,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шини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265/60 R18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38A12B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2FD9348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7385137A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2FEEEC4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highlight w:val="white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Повнорозмірне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легкосплавне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запасне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r w:rsidRPr="00DD55CB">
                          <w:rPr>
                            <w:rFonts w:ascii="Times New Roman" w:hAnsi="Times New Roman" w:cs="Times New Roman"/>
                            <w:highlight w:val="white"/>
                          </w:rPr>
                          <w:lastRenderedPageBreak/>
                          <w:t>колесо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91A8CCC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lastRenderedPageBreak/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A9865C5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798B85D0" w14:textId="77777777" w:rsidTr="008A6423">
                    <w:trPr>
                      <w:trHeight w:val="278"/>
                    </w:trPr>
                    <w:tc>
                      <w:tcPr>
                        <w:tcW w:w="7655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3491226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Експлуатаційні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показники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54A2C20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7C1CDC73" w14:textId="77777777" w:rsidTr="008A6423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899739F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Екологічний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клас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>- Euro 5-6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1F58CBB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Відповідає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424A00D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DD55CB" w14:paraId="4E53C9B0" w14:textId="77777777" w:rsidTr="008A6423">
                    <w:trPr>
                      <w:trHeight w:val="70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A421DC9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Міжсервісний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інтервал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–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кожні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15 тис. км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пробігу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або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1 раз на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рік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що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наступить </w:t>
                        </w: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раніше</w:t>
                        </w:r>
                        <w:proofErr w:type="spellEnd"/>
                        <w:r w:rsidRPr="00DD55C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57DAB85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DD55CB">
                          <w:rPr>
                            <w:rFonts w:ascii="Times New Roman" w:hAnsi="Times New Roman" w:cs="Times New Roman"/>
                          </w:rPr>
                          <w:t>Відповідає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129DEC3" w14:textId="77777777" w:rsidR="00DD55CB" w:rsidRPr="00DD55CB" w:rsidRDefault="00DD55CB" w:rsidP="00DD55C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7F6D3F86" w14:textId="77777777" w:rsidR="00DD55CB" w:rsidRPr="00A85E08" w:rsidRDefault="00DD55CB" w:rsidP="00DD5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1D2AE8AD" w14:textId="77777777" w:rsidR="00DD55CB" w:rsidRPr="000F0320" w:rsidRDefault="00DD55CB" w:rsidP="00DD55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122CE508" w14:textId="77777777" w:rsidR="00DD55CB" w:rsidRPr="0057258A" w:rsidRDefault="00DD55CB" w:rsidP="00DD55C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Франція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5F5B0F83" w14:textId="77777777" w:rsidR="00DD55CB" w:rsidRPr="0057258A" w:rsidRDefault="00DD55CB" w:rsidP="00DD55C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Франція</w:t>
                  </w:r>
                  <w:proofErr w:type="spellEnd"/>
                </w:p>
              </w:tc>
            </w:tr>
          </w:tbl>
          <w:p w14:paraId="15D9D44D" w14:textId="77777777" w:rsidR="00DD55CB" w:rsidRPr="00194F08" w:rsidRDefault="00DD55CB" w:rsidP="00DD5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60B25B39" w14:textId="77777777" w:rsidR="00DD55CB" w:rsidRPr="00194F08" w:rsidRDefault="00DD55CB" w:rsidP="00DD5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35627DF6" w14:textId="77777777" w:rsidR="00DD55CB" w:rsidRDefault="00DD55CB" w:rsidP="00DD5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E87218F" w14:textId="77777777" w:rsidR="00DD55CB" w:rsidRPr="00FF05E9" w:rsidRDefault="00DD55CB" w:rsidP="00DD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Вищенаведені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вимоги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мінімальними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Учасник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має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право на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власний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розсуд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пропонувати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транспортний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із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покращеними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характеристиками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або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характеристика (</w:t>
            </w:r>
            <w:proofErr w:type="spellStart"/>
            <w:r w:rsidRPr="00FF05E9">
              <w:rPr>
                <w:rFonts w:ascii="Times New Roman" w:hAnsi="Times New Roman" w:cs="Times New Roman"/>
              </w:rPr>
              <w:t>комплектацією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FF05E9">
              <w:rPr>
                <w:rFonts w:ascii="Times New Roman" w:hAnsi="Times New Roman" w:cs="Times New Roman"/>
              </w:rPr>
              <w:t>.</w:t>
            </w:r>
          </w:p>
          <w:p w14:paraId="411F2099" w14:textId="77777777" w:rsidR="00DD55CB" w:rsidRDefault="00DD55CB" w:rsidP="00DD5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62326984" w14:textId="77777777" w:rsidR="00DD55CB" w:rsidRDefault="00DD55CB" w:rsidP="00DD55CB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4306E849" w14:textId="77777777" w:rsidR="00DD55CB" w:rsidRPr="0012609E" w:rsidRDefault="00DD55CB" w:rsidP="00DD55C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0A119B" w14:textId="77777777" w:rsidR="00DD55CB" w:rsidRPr="00884CBC" w:rsidRDefault="00DD55CB" w:rsidP="00DD55CB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DD55CB" w:rsidRPr="00E228DB" w14:paraId="022B4B8D" w14:textId="77777777" w:rsidTr="008A6423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26663" w14:textId="77777777" w:rsidR="00DD55CB" w:rsidRPr="00884CBC" w:rsidRDefault="00DD55CB" w:rsidP="00DD55C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lastRenderedPageBreak/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102EC034" w14:textId="77777777" w:rsidR="00DD55CB" w:rsidRPr="00884CBC" w:rsidRDefault="00DD55CB" w:rsidP="00DD55C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6C90555E" w14:textId="77777777" w:rsidR="00DD55CB" w:rsidRPr="00884CBC" w:rsidRDefault="00DD55CB" w:rsidP="00DD55C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7827E61D" w14:textId="77777777" w:rsidR="00DD55CB" w:rsidRPr="00884CBC" w:rsidRDefault="00DD55CB" w:rsidP="00DD55C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2DB3E730" w14:textId="77777777" w:rsidR="00DD55CB" w:rsidRPr="00884CBC" w:rsidRDefault="00DD55CB" w:rsidP="00DD55C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8F1A1" w14:textId="77777777" w:rsidR="00DD55CB" w:rsidRPr="00884CBC" w:rsidRDefault="00DD55CB" w:rsidP="00DD55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771A9B7B" w14:textId="77777777" w:rsidR="00DD55CB" w:rsidRPr="00884CBC" w:rsidRDefault="00DD55CB" w:rsidP="00DD55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52CBB066" w14:textId="77777777" w:rsidR="00DD55CB" w:rsidRPr="00884CBC" w:rsidRDefault="00DD55CB" w:rsidP="00DD55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6B3B167D" w14:textId="77777777" w:rsidR="00DD55CB" w:rsidRPr="00884CBC" w:rsidRDefault="00DD55CB" w:rsidP="00DD55C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AA6A8" w14:textId="77777777" w:rsidR="00DD55CB" w:rsidRPr="00884CBC" w:rsidRDefault="00DD55CB" w:rsidP="00DD55CB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84E93" w14:textId="77777777" w:rsidR="00DD55CB" w:rsidRPr="00884CBC" w:rsidRDefault="00DD55CB" w:rsidP="00DD55CB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 (*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51FE1426" w14:textId="77777777" w:rsidR="00DD55CB" w:rsidRPr="0012609E" w:rsidRDefault="00DD55CB" w:rsidP="00DD5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B57CAEE" w14:textId="77777777" w:rsidR="00DD55CB" w:rsidRDefault="00DD55CB" w:rsidP="00DD55CB">
            <w:pPr>
              <w:tabs>
                <w:tab w:val="left" w:pos="202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2.</w:t>
            </w:r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Інші </w:t>
            </w: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1210BDC4" w14:textId="77777777" w:rsidR="00DD55CB" w:rsidRPr="00C479D4" w:rsidRDefault="00DD55CB" w:rsidP="00DD55CB">
            <w:pPr>
              <w:rPr>
                <w:b/>
                <w:bCs/>
              </w:rPr>
            </w:pPr>
          </w:p>
          <w:p w14:paraId="274CCF9D" w14:textId="77777777" w:rsidR="00DD55CB" w:rsidRPr="00C479D4" w:rsidRDefault="00DD55CB" w:rsidP="00DD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транспортний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бути не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3 роки/100 000 км </w:t>
            </w:r>
          </w:p>
          <w:p w14:paraId="48C5717B" w14:textId="77777777" w:rsidR="00DD55CB" w:rsidRPr="00C479D4" w:rsidRDefault="00DD55CB" w:rsidP="00DD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починається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видаткової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накладної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на Товар та акту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приймання-передачі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товару.</w:t>
            </w:r>
          </w:p>
          <w:p w14:paraId="599F6568" w14:textId="77777777" w:rsidR="00DD55CB" w:rsidRPr="00A85781" w:rsidRDefault="00DD55CB" w:rsidP="00DD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2.3 </w:t>
            </w:r>
            <w:proofErr w:type="spellStart"/>
            <w:r w:rsidRPr="00A857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Учасник</w:t>
            </w:r>
            <w:proofErr w:type="spellEnd"/>
            <w:r w:rsidRPr="00A857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повинен </w:t>
            </w:r>
            <w:proofErr w:type="spellStart"/>
            <w:r w:rsidRPr="00A857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надати</w:t>
            </w:r>
            <w:proofErr w:type="spellEnd"/>
            <w:r w:rsidRPr="00A857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лист,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підтверджує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запропонований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Учасником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транспортний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бувшим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технічно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справним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комплектуючі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, такими,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не були у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вживанні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Запропонований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Учасником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транспортний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не є предметом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застави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та не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>арештом</w:t>
            </w:r>
            <w:proofErr w:type="spellEnd"/>
            <w:r w:rsidRPr="00A857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022BEF" w14:textId="77777777" w:rsidR="00DD55CB" w:rsidRPr="00C479D4" w:rsidRDefault="00DD55CB" w:rsidP="00DD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Товар на момент поставки повинен бути укомплектований пакетом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сервісному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МВС.</w:t>
            </w:r>
          </w:p>
          <w:p w14:paraId="155C51E9" w14:textId="77777777" w:rsidR="00DD55CB" w:rsidRPr="00C479D4" w:rsidRDefault="00DD55CB" w:rsidP="00DD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Супутня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бути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виконана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мовою. 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оригінал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супутньої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складений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іншою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мовою,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супроводжуватись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автентичним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перекладом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  <w:p w14:paraId="11BF0235" w14:textId="77777777" w:rsidR="00DD55CB" w:rsidRPr="00C479D4" w:rsidRDefault="00DD55CB" w:rsidP="00DD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документальне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офіційним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дилером/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дистриб’ютором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товару на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дилерський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дистриб’юторський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витяг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дилерського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дистриб’юторського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дилера/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дистриб’ютора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7C46552" w14:textId="77777777" w:rsidR="00DD55CB" w:rsidRDefault="00DD55CB" w:rsidP="00DD55CB"/>
          <w:p w14:paraId="705A6F41" w14:textId="5B2E60D8" w:rsidR="00AB34E3" w:rsidRPr="00BB596D" w:rsidRDefault="00AB34E3" w:rsidP="00BB59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37DE6EAB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453C2DBF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BB59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3 000 000,00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</w:t>
            </w:r>
            <w:r w:rsidR="00BB59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Три </w:t>
            </w:r>
            <w:proofErr w:type="spellStart"/>
            <w:r w:rsidR="00BB59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мілійони</w:t>
            </w:r>
            <w:proofErr w:type="spellEnd"/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A0677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ПДВ.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6FFF8000" w:rsidR="000358FC" w:rsidRPr="00171BC7" w:rsidRDefault="00BB596D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A1946"/>
    <w:rsid w:val="001C61F2"/>
    <w:rsid w:val="001F38B0"/>
    <w:rsid w:val="002019C4"/>
    <w:rsid w:val="0025289C"/>
    <w:rsid w:val="0026284B"/>
    <w:rsid w:val="00352B90"/>
    <w:rsid w:val="00355CCB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34EFB"/>
    <w:rsid w:val="006A0513"/>
    <w:rsid w:val="006A6E84"/>
    <w:rsid w:val="006B7EC6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757BC"/>
    <w:rsid w:val="0097041E"/>
    <w:rsid w:val="00993632"/>
    <w:rsid w:val="009B6C17"/>
    <w:rsid w:val="009E27E4"/>
    <w:rsid w:val="009F4052"/>
    <w:rsid w:val="00A06779"/>
    <w:rsid w:val="00A34818"/>
    <w:rsid w:val="00A82898"/>
    <w:rsid w:val="00A82E10"/>
    <w:rsid w:val="00AA1048"/>
    <w:rsid w:val="00AA776E"/>
    <w:rsid w:val="00AB34E3"/>
    <w:rsid w:val="00AD31A7"/>
    <w:rsid w:val="00BA279F"/>
    <w:rsid w:val="00BB596D"/>
    <w:rsid w:val="00C16556"/>
    <w:rsid w:val="00C560C2"/>
    <w:rsid w:val="00C712FF"/>
    <w:rsid w:val="00D203C2"/>
    <w:rsid w:val="00D212AD"/>
    <w:rsid w:val="00D43B76"/>
    <w:rsid w:val="00D715EA"/>
    <w:rsid w:val="00DD55CB"/>
    <w:rsid w:val="00E86C1B"/>
    <w:rsid w:val="00EE764F"/>
    <w:rsid w:val="00F31795"/>
    <w:rsid w:val="00F46719"/>
    <w:rsid w:val="00F5018C"/>
    <w:rsid w:val="00F538B3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579898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5891</Words>
  <Characters>3359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2025-03-12T10:29:00Z</cp:lastPrinted>
  <dcterms:created xsi:type="dcterms:W3CDTF">2022-07-25T09:06:00Z</dcterms:created>
  <dcterms:modified xsi:type="dcterms:W3CDTF">2025-10-29T14:25:00Z</dcterms:modified>
</cp:coreProperties>
</file>