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01"/>
        <w:gridCol w:w="1209"/>
        <w:gridCol w:w="3226"/>
        <w:gridCol w:w="2268"/>
      </w:tblGrid>
      <w:tr w:rsidR="00B45D9B" w:rsidRPr="00B45D9B" w:rsidTr="00E567C9">
        <w:trPr>
          <w:trHeight w:val="180"/>
        </w:trPr>
        <w:tc>
          <w:tcPr>
            <w:tcW w:w="1951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01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09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494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E567C9">
        <w:trPr>
          <w:trHeight w:val="225"/>
        </w:trPr>
        <w:tc>
          <w:tcPr>
            <w:tcW w:w="1951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6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E567C9">
        <w:tc>
          <w:tcPr>
            <w:tcW w:w="1951" w:type="dxa"/>
          </w:tcPr>
          <w:p w:rsidR="00B45D9B" w:rsidRDefault="005F6006" w:rsidP="00711E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>Послуга з розподілу електричної енергії  (код національного класифікатора України ДК 021:2015 "Єдиний закупівельний словник" - 65310000-9 - Розподіл електричної енергії)</w:t>
            </w:r>
          </w:p>
          <w:p w:rsidR="00E567C9" w:rsidRDefault="00E567C9" w:rsidP="00711E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67C9" w:rsidRPr="006B2092" w:rsidRDefault="00E567C9" w:rsidP="00711E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Ідентифікатор процедури закупівлі </w:t>
            </w:r>
            <w:r w:rsidRPr="00E567C9">
              <w:rPr>
                <w:rFonts w:ascii="Times New Roman" w:hAnsi="Times New Roman" w:cs="Times New Roman"/>
                <w:sz w:val="18"/>
                <w:szCs w:val="18"/>
              </w:rPr>
              <w:t>UA-2022-01-12-005683-a</w:t>
            </w:r>
          </w:p>
        </w:tc>
        <w:tc>
          <w:tcPr>
            <w:tcW w:w="1201" w:type="dxa"/>
          </w:tcPr>
          <w:p w:rsidR="00B45D9B" w:rsidRPr="006B2092" w:rsidRDefault="005F6006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Переговорна процедура (скорочена)</w:t>
            </w:r>
          </w:p>
        </w:tc>
        <w:tc>
          <w:tcPr>
            <w:tcW w:w="1209" w:type="dxa"/>
          </w:tcPr>
          <w:p w:rsidR="00B45D9B" w:rsidRPr="006B2092" w:rsidRDefault="00711EB3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648746,16</w:t>
            </w:r>
          </w:p>
        </w:tc>
        <w:tc>
          <w:tcPr>
            <w:tcW w:w="3226" w:type="dxa"/>
          </w:tcPr>
          <w:p w:rsidR="00A40728" w:rsidRPr="00A40728" w:rsidRDefault="007601AE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0728" w:rsidRPr="00A40728">
              <w:rPr>
                <w:rFonts w:ascii="Times New Roman" w:hAnsi="Times New Roman"/>
                <w:sz w:val="18"/>
                <w:szCs w:val="18"/>
              </w:rPr>
              <w:t xml:space="preserve">Закупівля послуги з розподілу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НКРЕКП від 14.03.2018 № 312 (далі — ПРРЕЕ), Законом України «Про публічні закупівлі» від 25.12.2015 № 922-VIII (далі — Закон № 922), Кодексом системи розподілу, затвердженим постановою НКРЕКП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Кодексом комерційного обліку, затвердженим постановою НКРЕКП № 311 від 14.03.2018, та іншими нормативно-правовими актами, що стосуються предмета закупівлі. </w:t>
            </w:r>
          </w:p>
          <w:p w:rsidR="00A40728" w:rsidRPr="00A40728" w:rsidRDefault="00A40728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/>
                <w:sz w:val="18"/>
                <w:szCs w:val="18"/>
              </w:rPr>
              <w:t>Термін постачання  протягом 202</w:t>
            </w:r>
            <w:r w:rsidR="00E567C9">
              <w:rPr>
                <w:rFonts w:ascii="Times New Roman" w:hAnsi="Times New Roman"/>
                <w:sz w:val="18"/>
                <w:szCs w:val="18"/>
              </w:rPr>
              <w:t>2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р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 xml:space="preserve">Кількісною характеристикою предмета закупівлі є обсяг розподіленої електричної енергії. За одиницю виміру послуги  приймається кіловат-година, яка дорівнює кількості енергії, розділеної по мережах оператора системи розподілу в один кіловат протягом однієї години. Обсяг, необхідний для забезпечення діяльності та власних потреб об’єкта замовника, враховуючи обсяги розподіленої / спожитої електричної енергії попереднього календарного року, становить </w:t>
            </w:r>
            <w:r>
              <w:rPr>
                <w:rFonts w:ascii="Times New Roman" w:hAnsi="Times New Roman"/>
                <w:sz w:val="18"/>
                <w:szCs w:val="18"/>
              </w:rPr>
              <w:t>430000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 xml:space="preserve"> кВт. год на 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>р.</w:t>
            </w:r>
          </w:p>
          <w:p w:rsid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 xml:space="preserve">Клас споживача (за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потужністю) - 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>2 клас. Ціна (тариф) на послугу з розподілу електричної енергії є регульованою та встановлюється НКРЕКП.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ОСР повинен дотримуватися затверджених Регулятором показників якості електропостачання, які характеризують рівень надійності (безперервності) електропостачання, комерційної якості надання послуг з розподілу електричної енергії та якості електричної енергії.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До якісних характеристик предмета закупівлі, зокрема, належать: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—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ab/>
              <w:t>надійність (безперервність) електропостачання;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lastRenderedPageBreak/>
              <w:t>—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ab/>
              <w:t>параметри якості електричної енергії, що розподіляється оператором системи розподілу;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—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ab/>
              <w:t>показники комерційної якості послуг оператора системи розподілу.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 xml:space="preserve">Згідно з пунктом 11.4.2 КСР надійність (безперервність) електропостачання характеризується кількістю, тривалістю перерв в електропостачанні та обсягом </w:t>
            </w:r>
            <w:proofErr w:type="spellStart"/>
            <w:r w:rsidRPr="00E567C9">
              <w:rPr>
                <w:rFonts w:ascii="Times New Roman" w:hAnsi="Times New Roman"/>
                <w:sz w:val="18"/>
                <w:szCs w:val="18"/>
              </w:rPr>
              <w:t>недовідпущеної</w:t>
            </w:r>
            <w:proofErr w:type="spellEnd"/>
            <w:r w:rsidRPr="00E567C9">
              <w:rPr>
                <w:rFonts w:ascii="Times New Roman" w:hAnsi="Times New Roman"/>
                <w:sz w:val="18"/>
                <w:szCs w:val="18"/>
              </w:rPr>
              <w:t xml:space="preserve"> електричної енергії.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Надійність (безперервність) електропостачання споживача характеризується такими показниками: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1)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ab/>
              <w:t>індекс середньої тривалості довгих перерв в електропостачанні в системі (SAIDI) розраховується як відношення сумарної тривалості довгих перерв в електропостачанні в точках комерційного обліку електричної енергії, у яких було припинене електропостачання за звітний період, до загальної кількості точок комерційного обліку електричної енергії;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2)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ab/>
              <w:t>індекс середньої частоти довгих перерв в електропостачанні в системі (SAIFI) розраховується як відношення сумарної кількості відключених точок комерційного обліку електричної енергії, у яких було припинене електропостачання внаслідок усіх довгих перерв в електропостачанні протягом звітного періоду, до загальної кількості точок комерційного обліку електричної енергії;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3)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ab/>
              <w:t>індекс середньої частоти коротких перерв в електропостачанні в системі (MAIFI) розраховується як відношення сумарної кількості відключених точок комерційного обліку електричної енергії протягом звітного періоду до загальної кількості точок комерційного обліку електричної енергії;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4)</w:t>
            </w:r>
            <w:r w:rsidRPr="00E567C9">
              <w:rPr>
                <w:rFonts w:ascii="Times New Roman" w:hAnsi="Times New Roman"/>
                <w:sz w:val="18"/>
                <w:szCs w:val="18"/>
              </w:rPr>
              <w:tab/>
              <w:t xml:space="preserve">розрахунковий обсяг </w:t>
            </w:r>
            <w:proofErr w:type="spellStart"/>
            <w:r w:rsidRPr="00E567C9">
              <w:rPr>
                <w:rFonts w:ascii="Times New Roman" w:hAnsi="Times New Roman"/>
                <w:sz w:val="18"/>
                <w:szCs w:val="18"/>
              </w:rPr>
              <w:t>недовідпущеної</w:t>
            </w:r>
            <w:proofErr w:type="spellEnd"/>
            <w:r w:rsidRPr="00E567C9">
              <w:rPr>
                <w:rFonts w:ascii="Times New Roman" w:hAnsi="Times New Roman"/>
                <w:sz w:val="18"/>
                <w:szCs w:val="18"/>
              </w:rPr>
              <w:t xml:space="preserve"> електроенергії (ENS) розраховується як сума добутків кількості точок комерційного обліку електричної енергії, у яких було припинене електропостачання, на тривалість довгої перерви та на середнє споживання електроенергії на відповідному рівні напруги.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 xml:space="preserve">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стандарту. Якість електричної енергії забезпечується ОСР під час надання послуги з розподілу електричної енергії відповідно до положень пункту 11.4.6 глави 11.4 розділу XI КСР, 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</w:t>
            </w:r>
            <w:proofErr w:type="spellStart"/>
            <w:r w:rsidRPr="00E567C9">
              <w:rPr>
                <w:rFonts w:ascii="Times New Roman" w:hAnsi="Times New Roman"/>
                <w:sz w:val="18"/>
                <w:szCs w:val="18"/>
              </w:rPr>
              <w:t>призначеності</w:t>
            </w:r>
            <w:proofErr w:type="spellEnd"/>
            <w:r w:rsidRPr="00E567C9">
              <w:rPr>
                <w:rFonts w:ascii="Times New Roman" w:hAnsi="Times New Roman"/>
                <w:sz w:val="18"/>
                <w:szCs w:val="18"/>
              </w:rPr>
              <w:t>» (далі — ДСТУ EN 50160:2014).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 xml:space="preserve">Основні показники якості електричної енергії визначені у пунктах 11.4.7–11.4.12 глави 11.4 розділу XІ КСР. 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 xml:space="preserve">Стандартна номінальна напруга </w:t>
            </w:r>
            <w:proofErr w:type="spellStart"/>
            <w:r w:rsidRPr="00E567C9">
              <w:rPr>
                <w:rFonts w:ascii="Times New Roman" w:hAnsi="Times New Roman"/>
                <w:sz w:val="18"/>
                <w:szCs w:val="18"/>
              </w:rPr>
              <w:t>Uн</w:t>
            </w:r>
            <w:proofErr w:type="spellEnd"/>
            <w:r w:rsidRPr="00E567C9">
              <w:rPr>
                <w:rFonts w:ascii="Times New Roman" w:hAnsi="Times New Roman"/>
                <w:sz w:val="18"/>
                <w:szCs w:val="18"/>
              </w:rPr>
              <w:t xml:space="preserve"> для мереж низької напруги загального призначення має значення 220 В між фазним і нульовим проводом або між фазними проводами: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 xml:space="preserve">— для трифазних </w:t>
            </w:r>
            <w:proofErr w:type="spellStart"/>
            <w:r w:rsidRPr="00E567C9">
              <w:rPr>
                <w:rFonts w:ascii="Times New Roman" w:hAnsi="Times New Roman"/>
                <w:sz w:val="18"/>
                <w:szCs w:val="18"/>
              </w:rPr>
              <w:t>чотирипровідних</w:t>
            </w:r>
            <w:proofErr w:type="spellEnd"/>
            <w:r w:rsidRPr="00E567C9">
              <w:rPr>
                <w:rFonts w:ascii="Times New Roman" w:hAnsi="Times New Roman"/>
                <w:sz w:val="18"/>
                <w:szCs w:val="18"/>
              </w:rPr>
              <w:t xml:space="preserve"> мереж: </w:t>
            </w:r>
            <w:proofErr w:type="spellStart"/>
            <w:r w:rsidRPr="00E567C9">
              <w:rPr>
                <w:rFonts w:ascii="Times New Roman" w:hAnsi="Times New Roman"/>
                <w:sz w:val="18"/>
                <w:szCs w:val="18"/>
              </w:rPr>
              <w:t>Uн</w:t>
            </w:r>
            <w:proofErr w:type="spellEnd"/>
            <w:r w:rsidRPr="00E567C9">
              <w:rPr>
                <w:rFonts w:ascii="Times New Roman" w:hAnsi="Times New Roman"/>
                <w:sz w:val="18"/>
                <w:szCs w:val="18"/>
              </w:rPr>
              <w:t xml:space="preserve"> = 220 В між фазним та нульовим проводом;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 xml:space="preserve">— для трифазних </w:t>
            </w:r>
            <w:proofErr w:type="spellStart"/>
            <w:r w:rsidRPr="00E567C9">
              <w:rPr>
                <w:rFonts w:ascii="Times New Roman" w:hAnsi="Times New Roman"/>
                <w:sz w:val="18"/>
                <w:szCs w:val="18"/>
              </w:rPr>
              <w:t>трипровідних</w:t>
            </w:r>
            <w:proofErr w:type="spellEnd"/>
            <w:r w:rsidRPr="00E567C9">
              <w:rPr>
                <w:rFonts w:ascii="Times New Roman" w:hAnsi="Times New Roman"/>
                <w:sz w:val="18"/>
                <w:szCs w:val="18"/>
              </w:rPr>
              <w:t xml:space="preserve"> мереж: </w:t>
            </w:r>
            <w:proofErr w:type="spellStart"/>
            <w:r w:rsidRPr="00E567C9">
              <w:rPr>
                <w:rFonts w:ascii="Times New Roman" w:hAnsi="Times New Roman"/>
                <w:sz w:val="18"/>
                <w:szCs w:val="18"/>
              </w:rPr>
              <w:t>Uн</w:t>
            </w:r>
            <w:proofErr w:type="spellEnd"/>
            <w:r w:rsidRPr="00E567C9">
              <w:rPr>
                <w:rFonts w:ascii="Times New Roman" w:hAnsi="Times New Roman"/>
                <w:sz w:val="18"/>
                <w:szCs w:val="18"/>
              </w:rPr>
              <w:t xml:space="preserve"> = 220 В між фазними проводами.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Зміна напруги не повинна перевищувати ± 10 % від величини номінальної напруги. Частота напруги електропостачання для мереж низької напруги має бути в межах, визначених пунктом 11.4.8 глави 11.5 розділу XI КСР.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Пунктом 11.4.4 КСР визначається комерційна якість надання послуг, яка характеризує якість відносин ОСР зі споживачем, зокрема дотримання встановлених цим Кодексом та іншими нормативно-правовими актами строків надання послуг та виконання робіт щодо: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1) приєднання до системи розподілу;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2) надання послуг з розподілу електричної енергії;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3) відновлення електропостачання та забезпечення належної якості електричної енергії;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4) питань комерційного обліку;</w:t>
            </w:r>
          </w:p>
          <w:p w:rsidR="00E567C9" w:rsidRPr="00E567C9" w:rsidRDefault="00E567C9" w:rsidP="00E567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567C9">
              <w:rPr>
                <w:rFonts w:ascii="Times New Roman" w:hAnsi="Times New Roman"/>
                <w:sz w:val="18"/>
                <w:szCs w:val="18"/>
              </w:rPr>
              <w:t>5) відповідей на звернення та скарги споживачів тощо.</w:t>
            </w: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6006" w:rsidRDefault="005F6006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Визначення очікуваної вартості предмета закупівлі обумовлено аналізом отриманої / наданої послуги з розподілу електричної енергії  (річного та місячного) за календарний рік (бюджетний період). </w:t>
            </w:r>
          </w:p>
          <w:p w:rsidR="00920494" w:rsidRPr="005F6006" w:rsidRDefault="00920494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0494">
              <w:rPr>
                <w:rFonts w:ascii="Times New Roman" w:hAnsi="Times New Roman" w:cs="Times New Roman"/>
                <w:sz w:val="18"/>
                <w:szCs w:val="18"/>
              </w:rPr>
              <w:t>Замовником здійснено розрахунок очікуваної вартості послуг, щодо яких проводиться державне регулювання цін і тарифів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      </w:r>
          </w:p>
          <w:p w:rsidR="005F6006" w:rsidRDefault="005F6006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>При цьому розрахунок очікуваної вартості проводився на підставі ціни (тарифу) на послугу з розподілу електричної енергії. Ціни (тарифи) отримані згідно з інформацією, оприлюдненою на офіційному сайті оператора системи розподілу (далі — ОСР) та регулятора (Національної комісії, що здійснює державне регулювання у сферах енергетики та комунальних послуг (далі — НКРЕКП, Регулятор))</w:t>
            </w:r>
            <w:r w:rsidR="009204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0494" w:rsidRPr="00920494">
              <w:rPr>
                <w:rFonts w:ascii="Times New Roman" w:hAnsi="Times New Roman" w:cs="Times New Roman"/>
                <w:sz w:val="18"/>
                <w:szCs w:val="18"/>
              </w:rPr>
              <w:t xml:space="preserve">)), а саме з постанови НКРЕКП </w:t>
            </w:r>
            <w:r w:rsidR="00920494">
              <w:rPr>
                <w:rFonts w:ascii="Times New Roman" w:hAnsi="Times New Roman" w:cs="Times New Roman"/>
                <w:sz w:val="18"/>
                <w:szCs w:val="18"/>
              </w:rPr>
              <w:t xml:space="preserve">№2591 </w:t>
            </w:r>
            <w:r w:rsidR="00920494" w:rsidRPr="00920494">
              <w:rPr>
                <w:rFonts w:ascii="Times New Roman" w:hAnsi="Times New Roman" w:cs="Times New Roman"/>
                <w:sz w:val="18"/>
                <w:szCs w:val="18"/>
              </w:rPr>
              <w:t xml:space="preserve">від </w:t>
            </w:r>
            <w:r w:rsidR="00920494">
              <w:rPr>
                <w:rFonts w:ascii="Times New Roman" w:hAnsi="Times New Roman" w:cs="Times New Roman"/>
                <w:sz w:val="18"/>
                <w:szCs w:val="18"/>
              </w:rPr>
              <w:t>17.12.2021</w:t>
            </w:r>
            <w:bookmarkStart w:id="0" w:name="_GoBack"/>
            <w:bookmarkEnd w:id="0"/>
            <w:r w:rsidR="00920494" w:rsidRPr="00920494">
              <w:rPr>
                <w:rFonts w:ascii="Times New Roman" w:hAnsi="Times New Roman" w:cs="Times New Roman"/>
                <w:sz w:val="18"/>
                <w:szCs w:val="18"/>
              </w:rPr>
              <w:t>р. д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 w:rsidR="00A40728">
              <w:rPr>
                <w:rFonts w:ascii="Times New Roman" w:hAnsi="Times New Roman" w:cs="Times New Roman"/>
                <w:sz w:val="18"/>
                <w:szCs w:val="18"/>
              </w:rPr>
              <w:t xml:space="preserve">ОСР, а саме </w:t>
            </w:r>
            <w:r w:rsidR="00A40728" w:rsidRPr="00A40728">
              <w:rPr>
                <w:rFonts w:ascii="Times New Roman" w:hAnsi="Times New Roman" w:cs="Times New Roman"/>
                <w:sz w:val="18"/>
                <w:szCs w:val="18"/>
              </w:rPr>
              <w:t>АТ «ВІННИЦЯОБЛЕНЕРГО»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 на дату визначення очікуваної вартості.</w:t>
            </w:r>
          </w:p>
          <w:p w:rsidR="00B45D9B" w:rsidRPr="006B2092" w:rsidRDefault="00B45D9B" w:rsidP="009E69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2D7"/>
    <w:multiLevelType w:val="hybridMultilevel"/>
    <w:tmpl w:val="B10E1D84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2880"/>
    <w:multiLevelType w:val="hybridMultilevel"/>
    <w:tmpl w:val="DF02D0D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700E7"/>
    <w:multiLevelType w:val="hybridMultilevel"/>
    <w:tmpl w:val="B00EB07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376E75"/>
    <w:rsid w:val="0052100E"/>
    <w:rsid w:val="005F6006"/>
    <w:rsid w:val="006B2092"/>
    <w:rsid w:val="00711EB3"/>
    <w:rsid w:val="007601AE"/>
    <w:rsid w:val="00920494"/>
    <w:rsid w:val="009E690D"/>
    <w:rsid w:val="00A40728"/>
    <w:rsid w:val="00AE2306"/>
    <w:rsid w:val="00AF2BFA"/>
    <w:rsid w:val="00B45D9B"/>
    <w:rsid w:val="00E567C9"/>
    <w:rsid w:val="00EE7897"/>
    <w:rsid w:val="00F30B6E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4543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2022-01-13T07:35:00Z</cp:lastPrinted>
  <dcterms:created xsi:type="dcterms:W3CDTF">2022-01-13T07:22:00Z</dcterms:created>
  <dcterms:modified xsi:type="dcterms:W3CDTF">2022-01-13T07:35:00Z</dcterms:modified>
</cp:coreProperties>
</file>