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56"/>
        <w:gridCol w:w="6064"/>
      </w:tblGrid>
      <w:tr w:rsidR="000358FC" w:rsidRPr="000358FC" w14:paraId="500AD5D9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49B6E19" w14:textId="77777777" w:rsidR="00F31795" w:rsidRPr="008037ED" w:rsidRDefault="00C16556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Природній газ</w:t>
            </w:r>
          </w:p>
          <w:p w14:paraId="59DB6050" w14:textId="77777777" w:rsidR="000358FC" w:rsidRPr="008037ED" w:rsidRDefault="00C16556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Pr="008037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ДК 021:2015:</w:t>
            </w:r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09120000-6 — Газове паливо (</w:t>
            </w:r>
            <w:r w:rsidRPr="008037ED"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shd w:val="clear" w:color="auto" w:fill="FDFEFD"/>
              </w:rPr>
              <w:t> </w:t>
            </w:r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09123000-7</w:t>
            </w:r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EFD"/>
              </w:rPr>
              <w:t> - </w:t>
            </w:r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Природний газ</w:t>
            </w:r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  <w:lang w:val="uk-UA"/>
              </w:rPr>
              <w:t>)</w:t>
            </w:r>
          </w:p>
        </w:tc>
      </w:tr>
      <w:tr w:rsidR="000358FC" w:rsidRPr="00F31795" w14:paraId="728605C1" w14:textId="77777777" w:rsidTr="00F31795">
        <w:trPr>
          <w:trHeight w:val="3679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процедури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1BDD6508" w:rsidR="000358FC" w:rsidRPr="00A34818" w:rsidRDefault="00AB039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039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UA-2025-11-25-017035-a</w:t>
            </w:r>
          </w:p>
        </w:tc>
      </w:tr>
      <w:tr w:rsidR="000358FC" w:rsidRPr="000358FC" w14:paraId="586AFCA9" w14:textId="77777777" w:rsidTr="00AB34E3">
        <w:trPr>
          <w:trHeight w:val="2503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4E7B130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Детальний опис предмета закупівлі:</w:t>
            </w:r>
          </w:p>
          <w:tbl>
            <w:tblPr>
              <w:tblW w:w="0" w:type="auto"/>
              <w:tblInd w:w="94" w:type="dxa"/>
              <w:tblLayout w:type="fixed"/>
              <w:tblLook w:val="0000" w:firstRow="0" w:lastRow="0" w:firstColumn="0" w:lastColumn="0" w:noHBand="0" w:noVBand="0"/>
            </w:tblPr>
            <w:tblGrid>
              <w:gridCol w:w="2671"/>
              <w:gridCol w:w="2869"/>
            </w:tblGrid>
            <w:tr w:rsidR="002333A5" w:rsidRPr="004121A4" w14:paraId="3F4F14D5" w14:textId="77777777" w:rsidTr="00EE662E">
              <w:trPr>
                <w:trHeight w:val="55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857B0A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Назва предмета закупівлі 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CE3188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Природний газ</w:t>
                  </w:r>
                </w:p>
              </w:tc>
            </w:tr>
            <w:tr w:rsidR="002333A5" w:rsidRPr="004121A4" w14:paraId="3B2B3EE5" w14:textId="77777777" w:rsidTr="00EE662E">
              <w:trPr>
                <w:trHeight w:val="55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DF14D5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Код ДК 021:2015 за Єдиним закупівельним словником 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2F06F9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09120000-6 – </w:t>
                  </w: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газове паливо</w:t>
                  </w:r>
                </w:p>
              </w:tc>
            </w:tr>
            <w:tr w:rsidR="002333A5" w:rsidRPr="004121A4" w14:paraId="53972059" w14:textId="77777777" w:rsidTr="00EE662E">
              <w:trPr>
                <w:trHeight w:val="55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18B920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lastRenderedPageBreak/>
      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82C39D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природний газ: 09123000-7 – природний газ</w:t>
                  </w:r>
                </w:p>
              </w:tc>
            </w:tr>
            <w:tr w:rsidR="002333A5" w:rsidRPr="004121A4" w14:paraId="00FBE2B6" w14:textId="77777777" w:rsidTr="00EE662E">
              <w:trPr>
                <w:trHeight w:val="63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C0C6A7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Одиниці виміру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91EA14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тисяча кубічних метрів (тис. куб.м.)</w:t>
                  </w:r>
                </w:p>
                <w:p w14:paraId="1DCDF34F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33A5" w:rsidRPr="004121A4" w14:paraId="1E5BD465" w14:textId="77777777" w:rsidTr="00EE662E">
              <w:trPr>
                <w:trHeight w:val="63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351EC2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Кількість (обсяг), тис. куб.м.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E9CC9F" w14:textId="48D5DEE1" w:rsidR="002333A5" w:rsidRPr="004121A4" w:rsidRDefault="00AB039C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5700</w:t>
                  </w:r>
                </w:p>
              </w:tc>
            </w:tr>
            <w:tr w:rsidR="002333A5" w:rsidRPr="004121A4" w14:paraId="6744EE87" w14:textId="77777777" w:rsidTr="00EE662E">
              <w:trPr>
                <w:trHeight w:val="63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EFD7FF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Місце поставки товару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33E190B" w14:textId="77777777" w:rsidR="002333A5" w:rsidRPr="00894646" w:rsidRDefault="002333A5" w:rsidP="002333A5">
                  <w:pPr>
                    <w:pStyle w:val="aa"/>
                    <w:ind w:left="0" w:hanging="2"/>
                    <w:rPr>
                      <w:b/>
                      <w:i/>
                    </w:rPr>
                  </w:pPr>
                  <w:r w:rsidRPr="00894646">
                    <w:t xml:space="preserve">1) </w:t>
                  </w:r>
                  <w:r w:rsidRPr="00894646">
                    <w:rPr>
                      <w:rStyle w:val="h-address-formatter"/>
                      <w:color w:val="000000"/>
                      <w:bdr w:val="none" w:sz="0" w:space="0" w:color="auto" w:frame="1"/>
                      <w:shd w:val="clear" w:color="auto" w:fill="FFFFFF"/>
                    </w:rPr>
                    <w:t>22100 Україна Вінницька область, м. Козятин, вул. Винниченка, 56</w:t>
                  </w:r>
                </w:p>
                <w:p w14:paraId="605398CE" w14:textId="77777777" w:rsidR="002333A5" w:rsidRPr="00894646" w:rsidRDefault="002333A5" w:rsidP="002333A5">
                  <w:pPr>
                    <w:tabs>
                      <w:tab w:val="left" w:pos="0"/>
                      <w:tab w:val="left" w:pos="284"/>
                      <w:tab w:val="left" w:pos="567"/>
                      <w:tab w:val="left" w:pos="830"/>
                    </w:tabs>
                    <w:ind w:hanging="2"/>
                    <w:jc w:val="both"/>
                    <w:rPr>
                      <w:rStyle w:val="h-address-formatter"/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894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894646">
                    <w:rPr>
                      <w:rStyle w:val="h-address-formatter"/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22100 Україна Вінницька область, м. Козятин, вул. Ів.Франка, 2, </w:t>
                  </w:r>
                </w:p>
                <w:p w14:paraId="021A0090" w14:textId="77777777" w:rsidR="002333A5" w:rsidRPr="00894646" w:rsidRDefault="002333A5" w:rsidP="002333A5">
                  <w:pPr>
                    <w:tabs>
                      <w:tab w:val="left" w:pos="0"/>
                      <w:tab w:val="left" w:pos="284"/>
                      <w:tab w:val="left" w:pos="567"/>
                      <w:tab w:val="left" w:pos="830"/>
                    </w:tabs>
                    <w:jc w:val="both"/>
                    <w:rPr>
                      <w:rStyle w:val="h-address-formatter"/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894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22142, </w:t>
                  </w:r>
                  <w:r w:rsidRPr="00894646">
                    <w:rPr>
                      <w:rStyle w:val="h-address-formatter"/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Україна Вінницька область, с.Сокілець, вул. Котляревського, 2А </w:t>
                  </w:r>
                </w:p>
                <w:p w14:paraId="3A94531A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33A5" w:rsidRPr="004121A4" w14:paraId="11D535C4" w14:textId="77777777" w:rsidTr="00EE662E">
              <w:trPr>
                <w:trHeight w:val="632"/>
              </w:trPr>
              <w:tc>
                <w:tcPr>
                  <w:tcW w:w="4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7F98F8" w14:textId="77777777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Строк поставки товару</w:t>
                  </w:r>
                </w:p>
              </w:tc>
              <w:tc>
                <w:tcPr>
                  <w:tcW w:w="5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1C3975" w14:textId="020ED802" w:rsidR="002333A5" w:rsidRPr="004121A4" w:rsidRDefault="002333A5" w:rsidP="002333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Цілодобово</w:t>
                  </w:r>
                  <w:r w:rsidR="00AB039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з 01.01.2026 </w:t>
                  </w: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до 31.12.20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2</w:t>
                  </w:r>
                  <w:r w:rsidR="00AB039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6 року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412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включно. </w:t>
                  </w:r>
                </w:p>
              </w:tc>
            </w:tr>
          </w:tbl>
          <w:p w14:paraId="3B7C6836" w14:textId="77777777" w:rsidR="002333A5" w:rsidRPr="004121A4" w:rsidRDefault="002333A5" w:rsidP="0023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EB6A873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Постачання природного газу, його технічні та якісні характеристики повинні відповідати  нормам чинного законодавства України:</w:t>
            </w:r>
          </w:p>
          <w:p w14:paraId="30690C89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України 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 ринок природного газу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№ 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329-VIII 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 09.04.2015;</w:t>
            </w:r>
          </w:p>
          <w:p w14:paraId="4912A58E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2496;</w:t>
            </w:r>
          </w:p>
          <w:p w14:paraId="6B6624DB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2493;</w:t>
            </w:r>
          </w:p>
          <w:p w14:paraId="48A0D175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2494;</w:t>
            </w:r>
          </w:p>
          <w:p w14:paraId="5C903E8F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іншим нормативно-правовим актам, прийнятим на виконання Закону України 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 ринок природного газу</w:t>
            </w:r>
            <w:r w:rsidRPr="004121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».</w:t>
            </w:r>
          </w:p>
          <w:p w14:paraId="24BCD19D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Вимоги щодо якості предмета закупівлі.</w:t>
            </w:r>
          </w:p>
          <w:p w14:paraId="7AC22975" w14:textId="77777777" w:rsidR="002333A5" w:rsidRPr="004121A4" w:rsidRDefault="002333A5" w:rsidP="0023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</w:t>
            </w: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2493, </w:t>
            </w: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</w:t>
            </w: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2494.</w:t>
            </w:r>
          </w:p>
          <w:p w14:paraId="1CF2253E" w14:textId="4E45A744" w:rsidR="002333A5" w:rsidRPr="002333A5" w:rsidRDefault="002333A5" w:rsidP="0023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 розрахункову одиницю газу приймається один метр кубічний (куб. м), приведений до стандартних умов: температура (t) 293,18 К (20оС), тиск газу (Р) 101,325 кПа (760 мм рт. ст.).</w:t>
            </w:r>
          </w:p>
          <w:p w14:paraId="108B88ED" w14:textId="77777777" w:rsidR="002333A5" w:rsidRPr="004121A4" w:rsidRDefault="002333A5" w:rsidP="002333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Особливі вимоги до предмета закупівлі.</w:t>
            </w:r>
          </w:p>
          <w:p w14:paraId="5410B7ED" w14:textId="77777777" w:rsidR="002333A5" w:rsidRPr="004121A4" w:rsidRDefault="002333A5" w:rsidP="0023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      </w:r>
          </w:p>
          <w:p w14:paraId="206CD20C" w14:textId="77777777" w:rsidR="002333A5" w:rsidRPr="004121A4" w:rsidRDefault="002333A5" w:rsidP="0023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Ціна на предмет даної закупівлі обов'язково повинна включати до вартості ціни тендерної пропозиції </w:t>
            </w: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вартість послуг, пов’язаних з транспортуванням газу,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      </w:r>
          </w:p>
          <w:p w14:paraId="705A6F41" w14:textId="612EBC23" w:rsidR="00AB34E3" w:rsidRPr="002333A5" w:rsidRDefault="002333A5" w:rsidP="0023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12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При цьому до ціни газу не включається вартість послуг з розподілу природного газу, що є предметом регулювання окремого договору між Замовником та Оператором газорозподільної системи.</w:t>
            </w:r>
          </w:p>
        </w:tc>
      </w:tr>
      <w:tr w:rsidR="000358FC" w:rsidRPr="008037ED" w14:paraId="0DB7727A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34E494B0" w:rsidR="009E27E4" w:rsidRPr="001F38B0" w:rsidRDefault="00A34818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призначення, визначений відповідно до потреби на 202</w:t>
            </w:r>
            <w:r w:rsidR="00233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та на підставі затверджених тарифів на постачання природного газу для бюджетних установ Постановою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</w:p>
        </w:tc>
      </w:tr>
      <w:tr w:rsidR="000358FC" w:rsidRPr="000358FC" w14:paraId="03BB921A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309F26D9" w:rsidR="000358FC" w:rsidRPr="001F38B0" w:rsidRDefault="00AB039C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97199,82 ( Дев’яносто сім тисяч сто дев’яносто дев’ять грн 82 коп)</w:t>
            </w:r>
          </w:p>
        </w:tc>
      </w:tr>
      <w:tr w:rsidR="000358FC" w:rsidRPr="00993632" w14:paraId="01CA495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0DB43A" w14:textId="7A4CC5F0" w:rsidR="006B7EC6" w:rsidRDefault="00A82E10" w:rsidP="001F38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Замовником здійснено розрахунок очікуваної вартості предмета закупівлі з урахуванням </w:t>
            </w:r>
            <w:r w:rsidR="00C712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постанови Кабінету Міністрів України</w:t>
            </w:r>
            <w:r w:rsidR="00C712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№896 «Про внесення змін до постанови Кабінету Міністрів України від 19 липня 2022 р. №812»</w:t>
            </w:r>
            <w:r w:rsidR="009E6FE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зі змінами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, яким</w:t>
            </w:r>
            <w:r w:rsidR="00C712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и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7E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продовжено дію постанови від 19.07.2022р. №812 «Про затвердження Положення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      </w:r>
          </w:p>
          <w:p w14:paraId="5DC7DD99" w14:textId="77777777" w:rsidR="00A82E10" w:rsidRPr="001F38B0" w:rsidRDefault="006B7EC6" w:rsidP="0058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(Із змінами і доповненнями)</w:t>
            </w:r>
            <w:r w:rsidR="0058607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="00A82E10" w:rsidRPr="006B7E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зокрема для забезпечення стабільності, належної якості та доступності природного газу, підтримання належного рівня безпеки його постачання споживачам без загрози першочерговій цілі створення повноцінного ринку природного газу, заснованого на засадах вільної </w:t>
            </w:r>
            <w:r w:rsidR="00A82E10" w:rsidRPr="006B7E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конкуренції з дотриманням принципів пропорційності, прозорості та недискримінації.</w:t>
            </w:r>
          </w:p>
          <w:p w14:paraId="578D3031" w14:textId="77777777" w:rsidR="00A82E10" w:rsidRPr="009B6C17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Відповідно до підпункту 2 пункту 4 Положення такі спеціальні обов’язки п</w:t>
            </w:r>
            <w:r w:rsidRPr="009B6C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окладено</w:t>
            </w:r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на ТОВ «Газопостачальна компанія </w:t>
            </w:r>
            <w:r w:rsidRPr="009B6C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„</w:t>
            </w:r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Нафтогаз Трейдинг“» щодо забезпечення постачання природного газу споживачам, що є бюджетними установами відповідно до </w:t>
            </w:r>
            <w:hyperlink r:id="rId5">
              <w:r w:rsidRPr="009B6C1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/>
                </w:rPr>
                <w:t>Бюджетного кодексу України</w:t>
              </w:r>
            </w:hyperlink>
            <w:r w:rsidRPr="009B6C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/</w:t>
            </w:r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закладам охорони здоров’я державної власності (казенні підприємства та / або державні установи тощо) </w:t>
            </w:r>
            <w:r w:rsidRPr="009B6C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/</w:t>
            </w:r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      </w:r>
            <w:r w:rsidRPr="009B6C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—</w:t>
            </w:r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бюджетні установи) на умовах, передбачених </w:t>
            </w:r>
            <w:hyperlink r:id="rId6" w:anchor="n34">
              <w:r w:rsidRPr="009B6C1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/>
                </w:rPr>
                <w:t>пунктом 6</w:t>
              </w:r>
            </w:hyperlink>
            <w:r w:rsidRPr="009B6C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цього Положення.</w:t>
            </w:r>
          </w:p>
          <w:p w14:paraId="5E7E9A12" w14:textId="204D240D" w:rsidR="00A82E10" w:rsidRPr="001F38B0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Пунктом 6 Положення визначено, що ТОВ «Газопостачальна компанія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Нафтогаз Трейдинг“» може  постач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ати </w:t>
            </w:r>
            <w:r w:rsidR="00586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="009F40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9E6F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1 березня </w:t>
            </w:r>
            <w:r w:rsidR="00586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9E6F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р. (включно) природний газ бюджетним установам за ціною, що становить 16 390</w:t>
            </w:r>
            <w:r w:rsidRPr="001F38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гривень з урахуванням податку на додану вартість за 1000 куб. метрів газу (без урахування тарифу на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14:paraId="39E98F50" w14:textId="4B8386A0" w:rsidR="00A82E10" w:rsidRPr="00171BC7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Тож, замовник має право отримувати природний газ за найбільш економічно вигідною ціною 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16 390,00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грн з ПДВ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(ціна за 1 тис. куб. м природного газу, яку пропонує ТОВ Газопостачальна компанія «Нафтогаз Трейдинг»)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+ </w:t>
            </w:r>
            <w:r w:rsidR="009E6FE0" w:rsidRPr="009E6F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662,60 грн</w:t>
            </w:r>
            <w:r w:rsidR="009E6FE0" w:rsidRPr="009E6FE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71BC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  <w:t xml:space="preserve"> грн з ПДВ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(тариф на послуги з транспортування природного газу для точки виходу та коефіцієнта, який застосовується у разі замовлення потужності на добу наперед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).</w:t>
            </w:r>
            <w:r w:rsidR="009E6FE0" w:rsidRPr="009E6FE0">
              <w:rPr>
                <w:rFonts w:ascii="Circe" w:hAnsi="Circe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9E6FE0" w:rsidRPr="009E6FE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згідно з постановою НКРЕКП від 30 грудня 2024 року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років»</w:t>
            </w:r>
          </w:p>
          <w:p w14:paraId="502BC3AF" w14:textId="382C071D" w:rsidR="00171BC7" w:rsidRDefault="006A6E84" w:rsidP="00171BC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</w:t>
            </w:r>
            <w:r w:rsidRPr="00171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B03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року. Планування закупівель, в тому числі визначення очікуваної </w:t>
            </w: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вартості, є динамічним та безперервним процесом, що здійснюється замовниками протягом року.</w:t>
            </w:r>
          </w:p>
          <w:p w14:paraId="39FEDF53" w14:textId="4C0A1E67" w:rsidR="000358FC" w:rsidRPr="00171BC7" w:rsidRDefault="00171BC7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Згідно з викладен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вище, згідно із Законом та потребами Замовника</w:t>
            </w: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</w:t>
            </w:r>
            <w:r w:rsidR="00586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дмета зак</w:t>
            </w:r>
            <w:r w:rsidR="00AD3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упівлі становить: </w:t>
            </w:r>
            <w:r w:rsidR="00AB0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5700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(обсяг) * </w:t>
            </w:r>
            <w:r w:rsidR="009E6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17,05260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(ціна за 1 тис. куб. м природного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газу</w:t>
            </w: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(тариф на послуги з транспортування природного газу для точки виходу та коефіцієнта, який застосовується у разі замовлення потужності на добу наперед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)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</w:t>
            </w:r>
            <w:r w:rsidR="00AB039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97199,82</w:t>
            </w:r>
            <w:r w:rsidR="006A6E84" w:rsidRPr="00171BC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з ПДВ.</w:t>
            </w:r>
          </w:p>
        </w:tc>
      </w:tr>
    </w:tbl>
    <w:p w14:paraId="486BA448" w14:textId="77777777" w:rsidR="000358FC" w:rsidRPr="00C560C2" w:rsidRDefault="007B5C24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HYPERLINK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"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https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://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radnyk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.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academy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/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pos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" \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t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"_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blank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648A41A9" w14:textId="77777777" w:rsidR="000358FC" w:rsidRPr="00993632" w:rsidRDefault="007B5C24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E0C022"/>
    <w:lvl w:ilvl="0">
      <w:numFmt w:val="bullet"/>
      <w:lvlText w:val="*"/>
      <w:lvlJc w:val="left"/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902453">
    <w:abstractNumId w:val="3"/>
  </w:num>
  <w:num w:numId="2" w16cid:durableId="174466808">
    <w:abstractNumId w:val="5"/>
  </w:num>
  <w:num w:numId="3" w16cid:durableId="1617519720">
    <w:abstractNumId w:val="4"/>
  </w:num>
  <w:num w:numId="4" w16cid:durableId="1426338302">
    <w:abstractNumId w:val="2"/>
  </w:num>
  <w:num w:numId="5" w16cid:durableId="62677901">
    <w:abstractNumId w:val="1"/>
  </w:num>
  <w:num w:numId="6" w16cid:durableId="7309259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50545"/>
    <w:rsid w:val="00171BC7"/>
    <w:rsid w:val="0018635D"/>
    <w:rsid w:val="001F38B0"/>
    <w:rsid w:val="002019C4"/>
    <w:rsid w:val="002333A5"/>
    <w:rsid w:val="0025289C"/>
    <w:rsid w:val="00352B90"/>
    <w:rsid w:val="00355CCB"/>
    <w:rsid w:val="00412574"/>
    <w:rsid w:val="004426EA"/>
    <w:rsid w:val="004A4670"/>
    <w:rsid w:val="0058607F"/>
    <w:rsid w:val="00625219"/>
    <w:rsid w:val="006A6E84"/>
    <w:rsid w:val="006B7EC6"/>
    <w:rsid w:val="006F477D"/>
    <w:rsid w:val="00717D39"/>
    <w:rsid w:val="007B5C24"/>
    <w:rsid w:val="007C580F"/>
    <w:rsid w:val="007F33DC"/>
    <w:rsid w:val="008037ED"/>
    <w:rsid w:val="00822182"/>
    <w:rsid w:val="0082219B"/>
    <w:rsid w:val="00857673"/>
    <w:rsid w:val="00993632"/>
    <w:rsid w:val="009B6C17"/>
    <w:rsid w:val="009E27E4"/>
    <w:rsid w:val="009E6FE0"/>
    <w:rsid w:val="009F4052"/>
    <w:rsid w:val="00A34818"/>
    <w:rsid w:val="00A82E10"/>
    <w:rsid w:val="00AA1048"/>
    <w:rsid w:val="00AA776E"/>
    <w:rsid w:val="00AB039C"/>
    <w:rsid w:val="00AB34E3"/>
    <w:rsid w:val="00AC4C86"/>
    <w:rsid w:val="00AC6E5F"/>
    <w:rsid w:val="00AD31A7"/>
    <w:rsid w:val="00B863E7"/>
    <w:rsid w:val="00BA279F"/>
    <w:rsid w:val="00C16556"/>
    <w:rsid w:val="00C560C2"/>
    <w:rsid w:val="00C712FF"/>
    <w:rsid w:val="00D212AD"/>
    <w:rsid w:val="00E86C1B"/>
    <w:rsid w:val="00EE764F"/>
    <w:rsid w:val="00F31795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basedOn w:val="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paragraph" w:styleId="aa">
    <w:name w:val="Body Text"/>
    <w:basedOn w:val="a"/>
    <w:link w:val="ab"/>
    <w:rsid w:val="002333A5"/>
    <w:pPr>
      <w:suppressAutoHyphens/>
      <w:autoSpaceDE w:val="0"/>
      <w:autoSpaceDN w:val="0"/>
      <w:spacing w:after="12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rsid w:val="002333A5"/>
    <w:rPr>
      <w:rFonts w:ascii="Times New Roman" w:eastAsia="Times New Roman" w:hAnsi="Times New Roman" w:cs="Times New Roman"/>
      <w:position w:val="-1"/>
      <w:sz w:val="24"/>
      <w:szCs w:val="24"/>
      <w:lang w:val="uk-UA" w:eastAsia="uk-UA"/>
    </w:rPr>
  </w:style>
  <w:style w:type="character" w:customStyle="1" w:styleId="h-address-formatter">
    <w:name w:val="h-address-formatter"/>
    <w:basedOn w:val="a0"/>
    <w:rsid w:val="0023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12-2022-%D0%BF" TargetMode="Externa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5776</Words>
  <Characters>3293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2025-10-09T12:23:00Z</cp:lastPrinted>
  <dcterms:created xsi:type="dcterms:W3CDTF">2022-07-25T09:06:00Z</dcterms:created>
  <dcterms:modified xsi:type="dcterms:W3CDTF">2025-11-25T14:45:00Z</dcterms:modified>
</cp:coreProperties>
</file>