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</w:t>
      </w:r>
      <w:proofErr w:type="gram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вл</w:t>
      </w:r>
      <w:proofErr w:type="gram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78"/>
        <w:gridCol w:w="6042"/>
      </w:tblGrid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</w:t>
            </w:r>
            <w:proofErr w:type="gram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вл</w:t>
            </w:r>
            <w:proofErr w:type="gram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31795" w:rsidRPr="008037ED" w:rsidRDefault="00C16556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037ED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Природній</w:t>
            </w:r>
            <w:proofErr w:type="spellEnd"/>
            <w:r w:rsidRPr="00803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газ</w:t>
            </w:r>
          </w:p>
          <w:p w:rsidR="000358FC" w:rsidRPr="008037ED" w:rsidRDefault="00C16556" w:rsidP="00F31795">
            <w:pPr>
              <w:spacing w:after="45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Pr="008037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ДК 021:2015:</w:t>
            </w:r>
            <w:r w:rsidRPr="00803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09120000-6 — </w:t>
            </w:r>
            <w:proofErr w:type="spellStart"/>
            <w:r w:rsidRPr="008037ED">
              <w:rPr>
                <w:rFonts w:ascii="Times New Roman" w:hAnsi="Times New Roman" w:cs="Times New Roman"/>
                <w:b/>
                <w:sz w:val="24"/>
                <w:szCs w:val="24"/>
              </w:rPr>
              <w:t>Газове</w:t>
            </w:r>
            <w:proofErr w:type="spellEnd"/>
            <w:r w:rsidRPr="00803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hAnsi="Times New Roman" w:cs="Times New Roman"/>
                <w:b/>
                <w:sz w:val="24"/>
                <w:szCs w:val="24"/>
              </w:rPr>
              <w:t>паливо</w:t>
            </w:r>
            <w:proofErr w:type="spellEnd"/>
            <w:r w:rsidRPr="00803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037E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037ED">
              <w:rPr>
                <w:rFonts w:ascii="Times New Roman" w:hAnsi="Times New Roman" w:cs="Times New Roman"/>
                <w:b/>
                <w:color w:val="777777"/>
                <w:sz w:val="24"/>
                <w:szCs w:val="24"/>
                <w:shd w:val="clear" w:color="auto" w:fill="FDFEFD"/>
              </w:rPr>
              <w:t> </w:t>
            </w:r>
            <w:proofErr w:type="gramEnd"/>
            <w:r w:rsidRPr="0080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09123000-7</w:t>
            </w:r>
            <w:r w:rsidRPr="0080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DFEFD"/>
              </w:rPr>
              <w:t> - </w:t>
            </w:r>
            <w:proofErr w:type="spellStart"/>
            <w:r w:rsidRPr="0080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>Природний</w:t>
            </w:r>
            <w:proofErr w:type="spellEnd"/>
            <w:r w:rsidRPr="0080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</w:rPr>
              <w:t xml:space="preserve"> газ</w:t>
            </w:r>
            <w:r w:rsidRPr="008037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shd w:val="clear" w:color="auto" w:fill="FDFEFD"/>
                <w:lang w:val="uk-UA"/>
              </w:rPr>
              <w:t>)</w:t>
            </w:r>
          </w:p>
        </w:tc>
      </w:tr>
      <w:tr w:rsidR="000358FC" w:rsidRPr="00F31795" w:rsidTr="00F31795">
        <w:trPr>
          <w:trHeight w:val="3679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“Про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публічні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закупівлі”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</w:t>
            </w:r>
            <w:proofErr w:type="gram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вл</w:t>
            </w:r>
            <w:proofErr w:type="gram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UA-</w:t>
            </w:r>
            <w:r w:rsidR="008037ED" w:rsidRPr="008037ED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UA-2022-11-01-002272-a</w:t>
            </w:r>
          </w:p>
        </w:tc>
      </w:tr>
      <w:tr w:rsidR="000358FC" w:rsidRPr="000358FC" w:rsidTr="00AB34E3">
        <w:trPr>
          <w:trHeight w:val="2503"/>
        </w:trPr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</w:t>
            </w:r>
            <w:proofErr w:type="gram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вл</w:t>
            </w:r>
            <w:proofErr w:type="gram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A82E10" w:rsidRPr="008037ED" w:rsidRDefault="00A82E10" w:rsidP="00A82E10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Природний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газ (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природний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газ,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нафтовий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попутний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) газ, газ (метан)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вугільних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родовищ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та газ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сланцевих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товщ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) —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корисна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копалина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яка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є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сумішшю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вуглеводнів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невуглеводневих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компонентів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перебуває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газоподібному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стані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стандартних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умов (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тиск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— 760 мм ртутного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стовпа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температура — 20° C)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є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товарною</w:t>
            </w:r>
            <w:proofErr w:type="gram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продукцією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A82E10" w:rsidRPr="008037ED" w:rsidRDefault="00A82E10" w:rsidP="00A82E10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Кількісною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характеристикою предмета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закупі</w:t>
            </w:r>
            <w:proofErr w:type="gram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є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обсяг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споживання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природного газу. </w:t>
            </w:r>
          </w:p>
          <w:p w:rsidR="00A82E10" w:rsidRPr="008037ED" w:rsidRDefault="00A82E10" w:rsidP="00A82E10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одиницю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виміру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кількості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природного газу 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при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його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обл</w:t>
            </w:r>
            <w:proofErr w:type="gram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іку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приймається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один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кубічний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метр (куб. м), приведений до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стандартних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умов: температура (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) = 20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градусів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Цельсієм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тиск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(Р) = 760 мм ртутного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стовпчика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(101,325 кПа).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Обсяг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необхідний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забезпечення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діяльності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власних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потреб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об’єк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white"/>
              </w:rPr>
              <w:t>тів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замовника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та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враховуючи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обсяги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споживання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попереднього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календарного</w:t>
            </w:r>
            <w:proofErr w:type="gram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року, становить </w:t>
            </w:r>
            <w:r w:rsidR="008037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  <w:r w:rsidRPr="008037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500 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куб. м на </w:t>
            </w:r>
            <w:r w:rsid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 квартал 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р.</w:t>
            </w:r>
          </w:p>
          <w:p w:rsidR="00A82E10" w:rsidRPr="008037ED" w:rsidRDefault="00A82E10" w:rsidP="00A82E10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Термін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постачання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—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  <w:t>з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  <w:t>01.01.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  <w:t xml:space="preserve">2023р. </w:t>
            </w:r>
            <w:r w:rsidRPr="008037E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highlight w:val="yellow"/>
              </w:rPr>
              <w:t>(</w:t>
            </w:r>
            <w:proofErr w:type="spellStart"/>
            <w:r w:rsidRPr="008037E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highlight w:val="yellow"/>
              </w:rPr>
              <w:t>або</w:t>
            </w:r>
            <w:proofErr w:type="spellEnd"/>
            <w:r w:rsidRPr="008037E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highlight w:val="yellow"/>
              </w:rPr>
              <w:t>з</w:t>
            </w:r>
            <w:proofErr w:type="spellEnd"/>
            <w:r w:rsidRPr="008037E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highlight w:val="yellow"/>
              </w:rPr>
              <w:t>дати</w:t>
            </w:r>
            <w:proofErr w:type="spellEnd"/>
            <w:r w:rsidRPr="008037E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highlight w:val="yellow"/>
              </w:rPr>
              <w:t>укладання</w:t>
            </w:r>
            <w:proofErr w:type="spellEnd"/>
            <w:r w:rsidRPr="008037E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договору)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31.03.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202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р.</w:t>
            </w:r>
          </w:p>
          <w:p w:rsidR="00A82E10" w:rsidRPr="008037ED" w:rsidRDefault="00A82E10" w:rsidP="00A82E10">
            <w:pPr>
              <w:spacing w:after="0" w:line="259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bookmarkStart w:id="0" w:name="_heading=h.30j0zll" w:colFirst="0" w:colLast="0"/>
            <w:bookmarkEnd w:id="0"/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Технічні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якісні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закупі</w:t>
            </w:r>
            <w:proofErr w:type="gram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вл</w:t>
            </w:r>
            <w:proofErr w:type="gram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закуповується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повинні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відповідати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технічним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умовам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та стандартам,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передбаченим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законодавством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діючим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період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постачання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товару,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зокрема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Закону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«Про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ринок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природного газу» № 329-VIII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09.04.2015 (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далі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— Закон № 329-VIII), Правилам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постачання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природного газу,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затвердженим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постановою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Національної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комісії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здійснює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державне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регулювання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 сферах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енергетики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комунальних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послуг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30.09.2015 № 2496, Кодексу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газотранспортної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системи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затвердженому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постановою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Національної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комісії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здійснює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державне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регулювання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 сферах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енергетики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комунальних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послуг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30.09.2015 № 2493 (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далі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— Кодекс № 2493), Кодексу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газорозподільної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системи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затвердженому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постановою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Національної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комісії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здійснює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державне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регулювання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у сферах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енергетики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комунальних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послуг</w:t>
            </w:r>
            <w:proofErr w:type="spellEnd"/>
            <w:proofErr w:type="gram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30.09.2015 № 2494 (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далі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— Кодекс № 2494),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іншим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нормативно-правовим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актам,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прийнятим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виконання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Закону № 329-VIII.</w:t>
            </w:r>
          </w:p>
          <w:p w:rsidR="00AB34E3" w:rsidRPr="008037ED" w:rsidRDefault="00A82E10" w:rsidP="00A82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Якість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фізико-хімічні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показники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(ФХП) та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інші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характеристики </w:t>
            </w:r>
            <w:proofErr w:type="gram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природного</w:t>
            </w:r>
            <w:proofErr w:type="gram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газу,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який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постачається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замовнику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повинні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відповідати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вимогам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визначеним</w:t>
            </w:r>
            <w:proofErr w:type="spellEnd"/>
            <w:r w:rsidRPr="008037E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Кодексом № 2493 та Кодексом № 2494.</w:t>
            </w:r>
          </w:p>
        </w:tc>
      </w:tr>
      <w:tr w:rsidR="000358FC" w:rsidRPr="008037ED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9E27E4" w:rsidRPr="001F38B0" w:rsidRDefault="001F38B0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Розмір бюджетного призначення</w:t>
            </w:r>
            <w:r w:rsidR="009E27E4" w:rsidRPr="001F3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згідно з планом кошторисних асигнувань Замовника.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</w:t>
            </w:r>
            <w:proofErr w:type="gram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вл</w:t>
            </w:r>
            <w:proofErr w:type="gram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1F38B0" w:rsidRDefault="00F31795" w:rsidP="001F38B0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8B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74 492,51 (сімдесят чотири тисячі чотириста дев’яносто дві гривні 51 копійка) грн. з ПДВ</w:t>
            </w:r>
          </w:p>
        </w:tc>
      </w:tr>
      <w:tr w:rsidR="000358FC" w:rsidRPr="00993632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</w:t>
            </w:r>
            <w:proofErr w:type="gram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вл</w:t>
            </w:r>
            <w:proofErr w:type="gram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A82E10" w:rsidRPr="001F38B0" w:rsidRDefault="00A82E10" w:rsidP="001F38B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здійснено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закупі</w:t>
            </w:r>
            <w:proofErr w:type="gram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вл</w:t>
            </w:r>
            <w:proofErr w:type="gram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урахуванням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процедур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відкритих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торгів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за номерами </w:t>
            </w:r>
            <w:hyperlink r:id="rId5" w:tgtFrame="_blank" w:tooltip="Оголошення на порталі Уповноваженого органу" w:history="1">
              <w:r w:rsidR="001F38B0"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bdr w:val="none" w:sz="0" w:space="0" w:color="auto" w:frame="1"/>
                  <w:shd w:val="clear" w:color="auto" w:fill="EEEEEE"/>
                </w:rPr>
                <w:t>UA-2022-10-24-011949-a</w:t>
              </w:r>
            </w:hyperlink>
            <w:r w:rsidR="001F38B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1F38B0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6" w:tgtFrame="_blank" w:tooltip="Оголошення на порталі Уповноваженого органу" w:history="1">
              <w:r w:rsidR="001F38B0"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bdr w:val="none" w:sz="0" w:space="0" w:color="auto" w:frame="1"/>
                </w:rPr>
                <w:t>UA-2022-10-24-010654-a</w:t>
              </w:r>
            </w:hyperlink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які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були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відмінені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підставі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подання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участі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відкритих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торгах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менше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двох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тендерних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пропозицій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.  А так само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урахуванням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пункту 1 постанови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Кабінету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Міні</w:t>
            </w:r>
            <w:proofErr w:type="gram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стр</w:t>
            </w:r>
            <w:proofErr w:type="gram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ів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Положення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покладення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спеціальних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обов’язків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суб’єктів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ринку природного газу для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загальносуспільних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інтересів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процесі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ринку природного газу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щодо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особливостей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природного газу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виробникам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теплової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енергії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бюджетним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установам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» (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змінами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доповненнями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) № 812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від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19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липня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2022 року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ухвалив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Положення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далі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Положення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яким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визначено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обсяг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умови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виконання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спеціальних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обов’язків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що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покладаються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суб’єктів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ринку природного газу для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загальносуспільних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інтересів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процесі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ринку природного газу (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далі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спеціальні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обов’язки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зокрема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стабільності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належної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якості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доступності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природного</w:t>
            </w:r>
            <w:proofErr w:type="gram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газу, </w:t>
            </w:r>
            <w:proofErr w:type="spellStart"/>
            <w:proofErr w:type="gram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ідтримання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належного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рівня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безпеки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його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споживачам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загрози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першочерговій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цілі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створення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повноцінного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ринку природного газу,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заснованого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на засадах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вільної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конкуренції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дотриманням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принципів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пропорційності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прозорості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недискримінації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82E10" w:rsidRPr="001F38B0" w:rsidRDefault="00A82E10" w:rsidP="00A82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ідпункту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 пункту 4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Положення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такі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спеціальні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обов’язки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окладено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ТОВ «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Газопостачальна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компанія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Нафтогаз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Трейдинг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“»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постачання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природного газу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споживачам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є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бюджетними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установами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 </w:t>
            </w:r>
            <w:hyperlink r:id="rId7">
              <w:r w:rsidRPr="001F38B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 xml:space="preserve">Бюджетного кодексу </w:t>
              </w:r>
              <w:proofErr w:type="spellStart"/>
              <w:r w:rsidRPr="001F38B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України</w:t>
              </w:r>
              <w:proofErr w:type="spellEnd"/>
            </w:hyperlink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/</w:t>
            </w:r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закладам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охорони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здоров’я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казенні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підприємства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 /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державні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установи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закладам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охорони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здоров’я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комунальної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комунальні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некомерційні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ідприємства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 /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комунальні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установи, та /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спільні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комунальні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підприємства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 (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далі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—</w:t>
            </w:r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бюджетні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установи) на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умовах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передбачених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" w:anchor="n34">
              <w:r w:rsidRPr="001F38B0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пунктом 6</w:t>
              </w:r>
            </w:hyperlink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цього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Положення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A82E10" w:rsidRPr="001F38B0" w:rsidRDefault="00A82E10" w:rsidP="00A82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Пунктом 6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Положення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визначено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ТОВ</w:t>
            </w:r>
            <w:proofErr w:type="gram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Газопостачальна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компанія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Нафтогаз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Трейдинг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“»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може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постач</w:t>
            </w:r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ати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вересня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2022 р. по 31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березня</w:t>
            </w:r>
            <w:proofErr w:type="spellEnd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2023 р. (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включно</w:t>
            </w:r>
            <w:proofErr w:type="spellEnd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природний</w:t>
            </w:r>
            <w:proofErr w:type="spellEnd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газ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бюджетним</w:t>
            </w:r>
            <w:proofErr w:type="spellEnd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установам</w:t>
            </w:r>
            <w:proofErr w:type="spellEnd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за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ціною</w:t>
            </w:r>
            <w:proofErr w:type="spellEnd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171BC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становить 16 390</w:t>
            </w:r>
            <w:r w:rsidRPr="001F38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гривень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урахуванням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податку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додану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 1000 куб.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метрів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газу (без </w:t>
            </w:r>
            <w:proofErr w:type="spellStart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урахування</w:t>
            </w:r>
            <w:proofErr w:type="spellEnd"/>
            <w:r w:rsidRPr="001F38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тарифу на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послуги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транспортування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природного газу для точки </w:t>
            </w:r>
            <w:proofErr w:type="spellStart"/>
            <w:proofErr w:type="gram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виходу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коефіцієнта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який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застосовується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разі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замовлення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потужності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>добу</w:t>
            </w:r>
            <w:proofErr w:type="spellEnd"/>
            <w:r w:rsidRPr="001F38B0">
              <w:rPr>
                <w:rFonts w:ascii="Times New Roman" w:eastAsia="Times New Roman" w:hAnsi="Times New Roman"/>
                <w:sz w:val="24"/>
                <w:szCs w:val="24"/>
              </w:rPr>
              <w:t xml:space="preserve"> наперед).</w:t>
            </w:r>
            <w:proofErr w:type="gramEnd"/>
          </w:p>
          <w:p w:rsidR="00A82E10" w:rsidRPr="00171BC7" w:rsidRDefault="00A82E10" w:rsidP="00A82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Відповідно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 пункту 12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частини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статті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розділу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Бюджетного кодексу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бюджетні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установи —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влади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місцевого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а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також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створені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ними у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встановленому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порядку,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повністю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утримуються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державного бюджету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місцевого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бюджету.</w:t>
            </w:r>
            <w:proofErr w:type="gram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Бюджетні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установи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є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неприбутковими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Тож</w:t>
            </w:r>
            <w:proofErr w:type="spellEnd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замовник</w:t>
            </w:r>
            <w:proofErr w:type="spellEnd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має</w:t>
            </w:r>
            <w:proofErr w:type="spellEnd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отримувати</w:t>
            </w:r>
            <w:proofErr w:type="spellEnd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природний</w:t>
            </w:r>
            <w:proofErr w:type="spellEnd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газ за </w:t>
            </w:r>
            <w:proofErr w:type="spellStart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найбільш</w:t>
            </w:r>
            <w:proofErr w:type="spellEnd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економічно</w:t>
            </w:r>
            <w:proofErr w:type="spellEnd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вигідною</w:t>
            </w:r>
            <w:proofErr w:type="spellEnd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ціною</w:t>
            </w:r>
            <w:proofErr w:type="spellEnd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1BC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16 390,00</w:t>
            </w:r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грн</w:t>
            </w:r>
            <w:proofErr w:type="spellEnd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proofErr w:type="spellEnd"/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ПДВ</w:t>
            </w:r>
            <w:r w:rsidRPr="00171BC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>ціна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за 1 тис. куб. м природного газу, яку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>пропонує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>ТОВ</w:t>
            </w:r>
            <w:proofErr w:type="gramEnd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>Газопостачальна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>компанія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>Нафтогаз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>Трейдинг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sz w:val="24"/>
                <w:szCs w:val="24"/>
              </w:rPr>
              <w:t>»)</w:t>
            </w:r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+ </w:t>
            </w:r>
            <w:r w:rsidR="00171BC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  <w:t xml:space="preserve">163,89 </w:t>
            </w:r>
            <w:proofErr w:type="spellStart"/>
            <w:r w:rsidR="00171BC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  <w:t>грн</w:t>
            </w:r>
            <w:proofErr w:type="spellEnd"/>
            <w:r w:rsidR="00171BC7"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/>
              </w:rPr>
              <w:t xml:space="preserve"> з ПДВ</w:t>
            </w:r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(тариф на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послуги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з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транспортування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природного газу для точки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виходу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та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коефіцієнта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який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застосовується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разі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замовлення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потужності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на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добу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наперед</w:t>
            </w:r>
            <w:r w:rsidRPr="00171BC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).</w:t>
            </w:r>
          </w:p>
          <w:p w:rsidR="00171BC7" w:rsidRDefault="006A6E84" w:rsidP="00171BC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Визначення очікуваної вартості предмета закупівлі обумовлено аналізом споживання (річного та місячного) обсягу </w:t>
            </w:r>
            <w:proofErr w:type="spellStart"/>
            <w:r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природнього</w:t>
            </w:r>
            <w:proofErr w:type="spellEnd"/>
            <w:r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газу за календарний рік (бюджетний період) 20</w:t>
            </w:r>
            <w:r w:rsidRPr="00171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року. 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      </w:r>
          </w:p>
          <w:p w:rsidR="000358FC" w:rsidRPr="00171BC7" w:rsidRDefault="00171BC7" w:rsidP="00171BC7">
            <w:pPr>
              <w:spacing w:after="4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викладен</w:t>
            </w:r>
            <w:r w:rsidRPr="00171BC7">
              <w:rPr>
                <w:rFonts w:ascii="Times New Roman" w:eastAsia="Times New Roman" w:hAnsi="Times New Roman"/>
                <w:sz w:val="24"/>
                <w:szCs w:val="24"/>
              </w:rPr>
              <w:t>им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вище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Законом та потребами </w:t>
            </w:r>
            <w:proofErr w:type="spellStart"/>
            <w:r w:rsidRPr="00171BC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Замовника</w:t>
            </w:r>
            <w:proofErr w:type="spellEnd"/>
            <w:r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A6E84"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</w:t>
            </w:r>
            <w:proofErr w:type="gramStart"/>
            <w:r w:rsidR="006A6E84"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</w:t>
            </w:r>
            <w:proofErr w:type="gramEnd"/>
            <w:r w:rsidR="006A6E84"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становить: 4,500 (обсяг) * 16 553,89 (ціна за 1 тис. куб. м природного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газу</w:t>
            </w:r>
            <w:r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(тариф на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послуги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з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транспортування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природного газу для точки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виходу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та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коефіцієнта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який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застосовується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разі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замовлення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потужності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на </w:t>
            </w:r>
            <w:proofErr w:type="spellStart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добу</w:t>
            </w:r>
            <w:proofErr w:type="spellEnd"/>
            <w:r w:rsidRPr="00171BC7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наперед</w:t>
            </w:r>
            <w:r w:rsidRPr="00171BC7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)</w:t>
            </w:r>
            <w:r w:rsidR="006A6E84"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</w:t>
            </w:r>
            <w:r w:rsidR="006A6E84" w:rsidRPr="00171BC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74</w:t>
            </w:r>
            <w:r w:rsidR="006A6E84" w:rsidRPr="00171BC7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 </w:t>
            </w:r>
            <w:r w:rsidR="006A6E84" w:rsidRPr="00171BC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492,51 </w:t>
            </w:r>
            <w:r w:rsidR="006A6E84"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A6E84"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6A6E84" w:rsidRPr="00171B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ПДВ.</w:t>
            </w:r>
          </w:p>
        </w:tc>
      </w:tr>
    </w:tbl>
    <w:p w:rsidR="000358FC" w:rsidRPr="00C560C2" w:rsidRDefault="00D212AD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 xml:space="preserve"> 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HYPERLINK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 xml:space="preserve"> "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https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>://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radnyk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>.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academy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>/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pos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>" \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t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 xml:space="preserve"> "_</w:instrText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>blank</w:instrText>
      </w:r>
      <w:r w:rsidR="000358FC" w:rsidRPr="00993632"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  <w:instrText xml:space="preserve">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993632" w:rsidRDefault="00D212AD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:rsidR="004426EA" w:rsidRPr="004426EA" w:rsidRDefault="004426EA" w:rsidP="004426EA">
      <w:pPr>
        <w:rPr>
          <w:lang w:val="uk-UA"/>
        </w:rPr>
      </w:pPr>
    </w:p>
    <w:sectPr w:rsidR="004426EA" w:rsidRPr="004426EA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FC"/>
    <w:rsid w:val="000358FC"/>
    <w:rsid w:val="000614CD"/>
    <w:rsid w:val="000E1383"/>
    <w:rsid w:val="00171BC7"/>
    <w:rsid w:val="0018635D"/>
    <w:rsid w:val="001F38B0"/>
    <w:rsid w:val="002019C4"/>
    <w:rsid w:val="00352B90"/>
    <w:rsid w:val="00355CCB"/>
    <w:rsid w:val="004426EA"/>
    <w:rsid w:val="004A4670"/>
    <w:rsid w:val="00625219"/>
    <w:rsid w:val="006A6E84"/>
    <w:rsid w:val="00717D39"/>
    <w:rsid w:val="007C580F"/>
    <w:rsid w:val="007F33DC"/>
    <w:rsid w:val="008037ED"/>
    <w:rsid w:val="00822182"/>
    <w:rsid w:val="0082219B"/>
    <w:rsid w:val="00857673"/>
    <w:rsid w:val="00993632"/>
    <w:rsid w:val="009E27E4"/>
    <w:rsid w:val="00A82E10"/>
    <w:rsid w:val="00AA1048"/>
    <w:rsid w:val="00AA776E"/>
    <w:rsid w:val="00AB34E3"/>
    <w:rsid w:val="00BA279F"/>
    <w:rsid w:val="00C16556"/>
    <w:rsid w:val="00C560C2"/>
    <w:rsid w:val="00D212AD"/>
    <w:rsid w:val="00E86C1B"/>
    <w:rsid w:val="00EE764F"/>
    <w:rsid w:val="00F3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basedOn w:val="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12-2022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24-010654-a" TargetMode="External"/><Relationship Id="rId5" Type="http://schemas.openxmlformats.org/officeDocument/2006/relationships/hyperlink" Target="https://prozorro.gov.ua/tender/UA-2022-10-24-011949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2022-10-25T12:55:00Z</cp:lastPrinted>
  <dcterms:created xsi:type="dcterms:W3CDTF">2022-07-25T09:06:00Z</dcterms:created>
  <dcterms:modified xsi:type="dcterms:W3CDTF">2022-11-01T09:01:00Z</dcterms:modified>
</cp:coreProperties>
</file>