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20E67D7" w14:textId="77777777" w:rsidR="0097041E" w:rsidRPr="00944F95" w:rsidRDefault="0097041E" w:rsidP="00970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Квадрокоптер DJI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Mavic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3 Pro</w:t>
              </w:r>
              <w:r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«</w:t>
              </w:r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або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еквівалент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»</w:t>
              </w:r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(ДК 021:2015: 34710000-7 –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Вертольоти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літаки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космічні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та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інші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літальні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апарати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з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двигуном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(34711200-6 -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Безпілотні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літальні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апарати</w:t>
              </w:r>
              <w:proofErr w:type="spellEnd"/>
              <w:r w:rsidRPr="00C96F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</w:p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14269DC3" w:rsidR="000358FC" w:rsidRPr="00A34818" w:rsidRDefault="009F4052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         </w:t>
            </w:r>
            <w:r w:rsidR="0097041E" w:rsidRPr="009704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UA-2024-11-01-004149-a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     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B31F6B9" w14:textId="5FB58C41" w:rsidR="00591833" w:rsidRDefault="00591833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Закупівля проводиться для потреб ЗСУ на їх запит, відповідно</w:t>
            </w:r>
            <w:r w:rsidR="009704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 Програми безпеки та оборони «Разом до перемоги Козятинська громада підтримує ЗСУ» співфінансування Вінницької обласної Ради та Козятинської міської територіальної громади на 2024, а також по результатам участі замовника в конкурсі Вінницької обласної ради «БЕЗПЕЧНІ СТІЙКІ ГРОМАДИ»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Технічні якісні характеристики визначені за потребою ЗСУ.</w:t>
            </w:r>
          </w:p>
          <w:p w14:paraId="2E3B4932" w14:textId="77777777" w:rsidR="0097041E" w:rsidRPr="00BD64C5" w:rsidRDefault="0097041E" w:rsidP="0097041E">
            <w:pPr>
              <w:spacing w:after="0"/>
              <w:rPr>
                <w:shd w:val="clear" w:color="auto" w:fill="FFFFFF"/>
                <w:lang w:val="uk-UA"/>
              </w:rPr>
            </w:pPr>
            <w:r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                                     </w:t>
            </w:r>
            <w:r w:rsidRPr="00BD64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Кількісні, технічні та якісні  характеристики:</w:t>
            </w:r>
          </w:p>
          <w:p w14:paraId="3373D729" w14:textId="77777777" w:rsidR="0097041E" w:rsidRPr="00770924" w:rsidRDefault="0097041E" w:rsidP="0097041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uk-UA" w:eastAsia="hi-IN" w:bidi="hi-IN"/>
              </w:rPr>
              <w:t>1. Загальний склад</w:t>
            </w:r>
          </w:p>
          <w:tbl>
            <w:tblPr>
              <w:tblW w:w="9530" w:type="dxa"/>
              <w:tblInd w:w="217" w:type="dxa"/>
              <w:tblLook w:val="0000" w:firstRow="0" w:lastRow="0" w:firstColumn="0" w:lastColumn="0" w:noHBand="0" w:noVBand="0"/>
            </w:tblPr>
            <w:tblGrid>
              <w:gridCol w:w="456"/>
              <w:gridCol w:w="3971"/>
              <w:gridCol w:w="1418"/>
              <w:gridCol w:w="731"/>
              <w:gridCol w:w="1296"/>
              <w:gridCol w:w="1658"/>
            </w:tblGrid>
            <w:tr w:rsidR="0097041E" w:rsidRPr="00770924" w14:paraId="2501A4CD" w14:textId="77777777" w:rsidTr="00D041C1">
              <w:trPr>
                <w:trHeight w:val="497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E120B1E" w14:textId="77777777" w:rsidR="0097041E" w:rsidRPr="00770924" w:rsidRDefault="0097041E" w:rsidP="0097041E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418C31" w14:textId="77777777" w:rsidR="0097041E" w:rsidRPr="00770924" w:rsidRDefault="0097041E" w:rsidP="0097041E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Товар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EABE4E2" w14:textId="77777777" w:rsidR="0097041E" w:rsidRPr="00770924" w:rsidRDefault="0097041E" w:rsidP="0097041E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Од</w:t>
                  </w:r>
                  <w:r w:rsidRPr="00BD64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иниця</w:t>
                  </w: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виміру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78649A" w14:textId="77777777" w:rsidR="0097041E" w:rsidRPr="00770924" w:rsidRDefault="0097041E" w:rsidP="0097041E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-</w:t>
                  </w: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ть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CB8521E" w14:textId="77777777" w:rsidR="0097041E" w:rsidRPr="00770924" w:rsidRDefault="0097041E" w:rsidP="0097041E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 w:eastAsia="ru-RU"/>
                    </w:rPr>
                    <w:t>Ціна за одиницю</w:t>
                  </w: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333192" w14:textId="77777777" w:rsidR="0097041E" w:rsidRPr="00770924" w:rsidRDefault="0097041E" w:rsidP="0097041E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 w:eastAsia="ru-RU"/>
                    </w:rPr>
                    <w:t>Сума</w:t>
                  </w:r>
                </w:p>
              </w:tc>
            </w:tr>
            <w:tr w:rsidR="0097041E" w:rsidRPr="00770924" w14:paraId="7E391E47" w14:textId="77777777" w:rsidTr="00D041C1">
              <w:trPr>
                <w:trHeight w:val="299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B1C2291" w14:textId="77777777" w:rsidR="0097041E" w:rsidRPr="00770924" w:rsidRDefault="0097041E" w:rsidP="0097041E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7709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66E334" w14:textId="77777777" w:rsidR="0097041E" w:rsidRPr="00770924" w:rsidRDefault="0097041E" w:rsidP="0097041E">
                  <w:pPr>
                    <w:shd w:val="clear" w:color="auto" w:fill="FFFFFF"/>
                    <w:spacing w:after="0" w:line="240" w:lineRule="auto"/>
                    <w:rPr>
                      <w:lang w:val="uk-UA"/>
                    </w:rPr>
                  </w:pP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«</w:t>
                  </w:r>
                  <w:proofErr w:type="spellStart"/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Квадрокоптер</w:t>
                  </w:r>
                  <w:proofErr w:type="spellEnd"/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DJI</w:t>
                  </w: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MAVIC</w:t>
                  </w: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3 </w:t>
                  </w: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</w:t>
                  </w:r>
                  <w:r w:rsidRPr="00BD64C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270327" w14:textId="77777777" w:rsidR="0097041E" w:rsidRPr="00770924" w:rsidRDefault="0097041E" w:rsidP="0097041E">
                  <w:pPr>
                    <w:pStyle w:val="2"/>
                    <w:rPr>
                      <w:lang w:val="uk-UA"/>
                    </w:rPr>
                  </w:pPr>
                  <w:r w:rsidRPr="00BD64C5">
                    <w:rPr>
                      <w:color w:val="000000"/>
                      <w:sz w:val="24"/>
                      <w:szCs w:val="24"/>
                      <w:lang w:val="uk-UA" w:eastAsia="uk-UA"/>
                    </w:rPr>
                    <w:t>к-т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AB0D105" w14:textId="77777777" w:rsidR="0097041E" w:rsidRPr="00770924" w:rsidRDefault="0097041E" w:rsidP="0097041E">
                  <w:pPr>
                    <w:pStyle w:val="2"/>
                    <w:rPr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 w:eastAsia="uk-UA"/>
                    </w:rPr>
                    <w:t>25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C4FB58F" w14:textId="77777777" w:rsidR="0097041E" w:rsidRPr="00770924" w:rsidRDefault="0097041E" w:rsidP="0097041E">
                  <w:pPr>
                    <w:pStyle w:val="2"/>
                    <w:rPr>
                      <w:lang w:val="uk-UA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F51BD2" w14:textId="77777777" w:rsidR="0097041E" w:rsidRPr="00770924" w:rsidRDefault="0097041E" w:rsidP="0097041E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</w:tc>
            </w:tr>
            <w:tr w:rsidR="0097041E" w:rsidRPr="00770924" w14:paraId="7A0F897C" w14:textId="77777777" w:rsidTr="00D041C1">
              <w:trPr>
                <w:trHeight w:val="282"/>
              </w:trPr>
              <w:tc>
                <w:tcPr>
                  <w:tcW w:w="657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4B8592" w14:textId="77777777" w:rsidR="0097041E" w:rsidRPr="00AC1077" w:rsidRDefault="0097041E" w:rsidP="0097041E">
                  <w:pPr>
                    <w:pStyle w:val="2"/>
                    <w:rPr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70924">
                    <w:rPr>
                      <w:color w:val="000000"/>
                      <w:sz w:val="24"/>
                      <w:szCs w:val="24"/>
                      <w:lang w:val="uk-UA"/>
                    </w:rPr>
                    <w:t>Всього</w:t>
                  </w: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: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5034F1" w14:textId="77777777" w:rsidR="0097041E" w:rsidRDefault="0097041E" w:rsidP="0097041E">
                  <w:pPr>
                    <w:pStyle w:val="2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0BC19D" w14:textId="77777777" w:rsidR="0097041E" w:rsidRDefault="0097041E" w:rsidP="0097041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7041E" w:rsidRPr="00770924" w14:paraId="204802A9" w14:textId="77777777" w:rsidTr="00D041C1">
              <w:trPr>
                <w:trHeight w:val="282"/>
              </w:trPr>
              <w:tc>
                <w:tcPr>
                  <w:tcW w:w="657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1A5800" w14:textId="77777777" w:rsidR="0097041E" w:rsidRPr="00AC1077" w:rsidRDefault="0097041E" w:rsidP="0097041E">
                  <w:pPr>
                    <w:pStyle w:val="2"/>
                    <w:rPr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у</w:t>
                  </w:r>
                  <w:r w:rsidRPr="00770924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т. ч. ПДВ*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AEDEE1" w14:textId="77777777" w:rsidR="0097041E" w:rsidRDefault="0097041E" w:rsidP="0097041E">
                  <w:pPr>
                    <w:pStyle w:val="2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A92047" w14:textId="77777777" w:rsidR="0097041E" w:rsidRDefault="0097041E" w:rsidP="0097041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 w:eastAsia="ru-RU"/>
                    </w:rPr>
                    <w:t>00,00</w:t>
                  </w:r>
                </w:p>
              </w:tc>
            </w:tr>
          </w:tbl>
          <w:p w14:paraId="059AD016" w14:textId="77777777" w:rsidR="0097041E" w:rsidRPr="00B4483A" w:rsidRDefault="0097041E" w:rsidP="0097041E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2"/>
                <w:sz w:val="20"/>
                <w:szCs w:val="20"/>
                <w:shd w:val="clear" w:color="auto" w:fill="FFFFFF"/>
                <w:lang w:val="uk-UA" w:eastAsia="hi-IN" w:bidi="hi-IN"/>
              </w:rPr>
            </w:pPr>
            <w:r w:rsidRPr="00B448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*Згідно з 32 підрозділу 2 розділу ХХ Податкового кодексу України операція з постачання товару за закупівлею </w:t>
            </w:r>
            <w:proofErr w:type="spellStart"/>
            <w:r w:rsidRPr="00B4483A">
              <w:rPr>
                <w:rFonts w:ascii="Times New Roman" w:hAnsi="Times New Roman" w:cs="Times New Roman"/>
                <w:i/>
                <w:iCs/>
                <w:color w:val="2F2F2F"/>
                <w:sz w:val="20"/>
                <w:szCs w:val="20"/>
                <w:lang w:val="uk-UA" w:eastAsia="uk-UA"/>
              </w:rPr>
              <w:t>Квадрокоптер</w:t>
            </w:r>
            <w:r>
              <w:rPr>
                <w:rFonts w:ascii="Times New Roman" w:hAnsi="Times New Roman" w:cs="Times New Roman"/>
                <w:i/>
                <w:iCs/>
                <w:color w:val="2F2F2F"/>
                <w:sz w:val="20"/>
                <w:szCs w:val="20"/>
                <w:lang w:val="uk-UA" w:eastAsia="uk-UA"/>
              </w:rPr>
              <w:t>и</w:t>
            </w:r>
            <w:proofErr w:type="spellEnd"/>
            <w:r w:rsidRPr="00B4483A">
              <w:rPr>
                <w:rFonts w:ascii="Times New Roman" w:hAnsi="Times New Roman" w:cs="Times New Roman"/>
                <w:i/>
                <w:iCs/>
                <w:color w:val="2F2F2F"/>
                <w:sz w:val="20"/>
                <w:szCs w:val="20"/>
                <w:lang w:val="uk-UA" w:eastAsia="uk-UA"/>
              </w:rPr>
              <w:t xml:space="preserve"> </w:t>
            </w:r>
            <w:r w:rsidRPr="00B4483A">
              <w:rPr>
                <w:rFonts w:ascii="Times New Roman" w:hAnsi="Times New Roman" w:cs="Times New Roman"/>
                <w:i/>
                <w:iCs/>
                <w:color w:val="2E4152"/>
                <w:sz w:val="20"/>
                <w:szCs w:val="20"/>
                <w:lang w:val="uk-UA" w:eastAsia="uk-UA"/>
              </w:rPr>
              <w:t xml:space="preserve">ДК 021:2015:34711200-6 Безпілотні літальні апарати </w:t>
            </w:r>
            <w:r w:rsidRPr="00B448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звільняє Учасника від сплати ПДВ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*</w:t>
            </w:r>
            <w:r w:rsidRPr="00B448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оскільки кінцевим отримувачем (кінцевим споживачем) Товару є військове формування.</w:t>
            </w:r>
          </w:p>
          <w:p w14:paraId="1F2D826F" w14:textId="77777777" w:rsidR="0097041E" w:rsidRDefault="0097041E" w:rsidP="0097041E">
            <w:pPr>
              <w:spacing w:after="0"/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uk-UA" w:eastAsia="hi-IN" w:bidi="hi-IN"/>
              </w:rPr>
            </w:pPr>
          </w:p>
          <w:p w14:paraId="2FF196C5" w14:textId="77777777" w:rsidR="0097041E" w:rsidRPr="000B7508" w:rsidRDefault="0097041E" w:rsidP="0097041E">
            <w:pPr>
              <w:pStyle w:val="a9"/>
              <w:ind w:left="0"/>
              <w:jc w:val="center"/>
            </w:pPr>
            <w:r w:rsidRPr="000B7508">
              <w:t>Товар, що планує закупити Замовник, повинен відповідати (або мати кращі - еквівалент) наступним технічним характеристикам: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118"/>
              <w:gridCol w:w="5597"/>
            </w:tblGrid>
            <w:tr w:rsidR="0097041E" w:rsidRPr="000B7508" w14:paraId="52ED5576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1D11E" w14:textId="77777777" w:rsidR="0097041E" w:rsidRPr="000B7508" w:rsidRDefault="0097041E" w:rsidP="00970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Характеристики</w:t>
                  </w:r>
                </w:p>
              </w:tc>
              <w:tc>
                <w:tcPr>
                  <w:tcW w:w="2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045AA" w14:textId="77777777" w:rsidR="0097041E" w:rsidRPr="000B7508" w:rsidRDefault="0097041E" w:rsidP="00970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Значення</w:t>
                  </w:r>
                </w:p>
              </w:tc>
            </w:tr>
            <w:tr w:rsidR="0097041E" w:rsidRPr="00770924" w14:paraId="674B71B4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46D60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Потужність передавача (ЕІВП) пульта керування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4F017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2,4 ГГц: FCC: ≤26 </w:t>
                  </w:r>
                  <w:proofErr w:type="spellStart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дБм</w:t>
                  </w:r>
                  <w:proofErr w:type="spellEnd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; CE: ≤20 </w:t>
                  </w:r>
                  <w:proofErr w:type="spellStart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дБм</w:t>
                  </w:r>
                  <w:proofErr w:type="spellEnd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; SRRC: ≤20 </w:t>
                  </w:r>
                  <w:proofErr w:type="spellStart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дБм</w:t>
                  </w:r>
                  <w:proofErr w:type="spellEnd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; MIC: ≤20 </w:t>
                  </w:r>
                  <w:proofErr w:type="spellStart"/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дБм</w:t>
                  </w:r>
                  <w:proofErr w:type="spellEnd"/>
                </w:p>
              </w:tc>
            </w:tr>
            <w:tr w:rsidR="0097041E" w:rsidRPr="000B7508" w14:paraId="3B27DC31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5EDF1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Робоча частота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6116F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2.4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-</w:t>
                  </w:r>
                  <w:r>
                    <w:rPr>
                      <w:rFonts w:eastAsia="Times New Roman"/>
                      <w:lang w:val="uk-UA"/>
                    </w:rPr>
                    <w:t>2,4835</w:t>
                  </w: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</w:t>
                  </w: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, 5,725-5,850 ГГц</w:t>
                  </w:r>
                </w:p>
              </w:tc>
            </w:tr>
            <w:tr w:rsidR="0097041E" w:rsidRPr="000B7508" w14:paraId="25BBB382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709DD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Максимальн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ий кут нахилу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21064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</w:t>
                  </w: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°/с</w:t>
                  </w:r>
                </w:p>
              </w:tc>
            </w:tr>
            <w:tr w:rsidR="0097041E" w:rsidRPr="000B7508" w14:paraId="2F9AD2F8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25147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Максимальна швидкість керування (нахил)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4DC7A" w14:textId="77777777" w:rsidR="0097041E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100 </w:t>
                  </w: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°/с</w:t>
                  </w:r>
                </w:p>
              </w:tc>
            </w:tr>
            <w:tr w:rsidR="0097041E" w:rsidRPr="000B7508" w14:paraId="53494667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C32BC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Максимально допустима швидкість вітру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335F1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 м/с</w:t>
                  </w:r>
                </w:p>
              </w:tc>
            </w:tr>
            <w:tr w:rsidR="0097041E" w:rsidRPr="000B7508" w14:paraId="3DD40B79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EADD1" w14:textId="77777777" w:rsidR="0097041E" w:rsidRPr="00832C6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83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Відеороз'єми</w:t>
                  </w:r>
                  <w:proofErr w:type="spellEnd"/>
                  <w:r w:rsidRPr="0083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пульта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F00F1" w14:textId="77777777" w:rsidR="0097041E" w:rsidRPr="00832C68" w:rsidRDefault="0097041E" w:rsidP="0097041E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uk-UA" w:eastAsia="uk-UA"/>
                    </w:rPr>
                  </w:pPr>
                  <w:hyperlink r:id="rId6" w:tooltip="USB Type-C" w:history="1">
                    <w:r w:rsidRPr="00832C6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val="uk-UA" w:eastAsia="uk-UA"/>
                      </w:rPr>
                      <w:t xml:space="preserve">USB </w:t>
                    </w:r>
                    <w:proofErr w:type="spellStart"/>
                    <w:r w:rsidRPr="00832C6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val="uk-UA" w:eastAsia="uk-UA"/>
                      </w:rPr>
                      <w:t>Type</w:t>
                    </w:r>
                    <w:proofErr w:type="spellEnd"/>
                    <w:r w:rsidRPr="00832C6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val="uk-UA" w:eastAsia="uk-UA"/>
                      </w:rPr>
                      <w:t>-C</w:t>
                    </w:r>
                  </w:hyperlink>
                </w:p>
              </w:tc>
            </w:tr>
            <w:tr w:rsidR="0097041E" w:rsidRPr="000B7508" w14:paraId="2FE726E5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8E658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Вага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97916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958 г</w:t>
                  </w:r>
                </w:p>
              </w:tc>
            </w:tr>
            <w:tr w:rsidR="0097041E" w:rsidRPr="000B7508" w14:paraId="7F349A67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BFA3B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Максимальна швидкість набору висоти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B7783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 м/с</w:t>
                  </w:r>
                </w:p>
              </w:tc>
            </w:tr>
            <w:tr w:rsidR="0097041E" w:rsidRPr="000B7508" w14:paraId="33E78FEA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45C01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Максимальна швидкість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спуску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A4C22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 м/с</w:t>
                  </w:r>
                </w:p>
              </w:tc>
            </w:tr>
            <w:tr w:rsidR="0097041E" w:rsidRPr="000B7508" w14:paraId="0B077F39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8DC7F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Максимальна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горизонтальна </w:t>
                  </w: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швидкість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FE1D4" w14:textId="77777777" w:rsidR="0097041E" w:rsidRPr="000B7508" w:rsidRDefault="0097041E" w:rsidP="0097041E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val="uk-UA" w:eastAsia="uk-UA"/>
                    </w:rPr>
                  </w:pPr>
                  <w:hyperlink r:id="rId7" w:tooltip="21 м/с" w:history="1">
                    <w:r w:rsidRPr="000B7508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val="uk-UA" w:eastAsia="uk-UA"/>
                      </w:rPr>
                      <w:t>21 м/с</w:t>
                    </w:r>
                  </w:hyperlink>
                </w:p>
              </w:tc>
            </w:tr>
            <w:tr w:rsidR="0097041E" w:rsidRPr="000B7508" w14:paraId="49906879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87544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Максимальна висота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зльоту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77717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6000 м</w:t>
                  </w:r>
                </w:p>
              </w:tc>
            </w:tr>
            <w:tr w:rsidR="0097041E" w:rsidRPr="000B7508" w14:paraId="2D9C7C72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4CFDC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Максимальний час польоту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705F7" w14:textId="77777777" w:rsidR="0097041E" w:rsidRPr="000B7508" w:rsidRDefault="0097041E" w:rsidP="0097041E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val="uk-UA" w:eastAsia="uk-UA"/>
                    </w:rPr>
                  </w:pPr>
                  <w:hyperlink r:id="rId8" w:tooltip="43 хвилини" w:history="1">
                    <w:r w:rsidRPr="000B7508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val="uk-UA" w:eastAsia="uk-UA"/>
                      </w:rPr>
                      <w:t>43 хвилини</w:t>
                    </w:r>
                  </w:hyperlink>
                </w:p>
              </w:tc>
            </w:tr>
            <w:tr w:rsidR="0097041E" w:rsidRPr="000B7508" w14:paraId="52968D2C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EDF3A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622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Парамет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ри</w:t>
                  </w:r>
                  <w:proofErr w:type="spellEnd"/>
                  <w:r w:rsidRPr="006622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камер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6AEA7" w14:textId="77777777" w:rsidR="0097041E" w:rsidRPr="006622F9" w:rsidRDefault="0097041E" w:rsidP="0097041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Chars="100" w:firstLine="220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Основная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широкоугольная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4/</w:t>
                  </w:r>
                  <w:r w:rsidRPr="006622F9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3</w:t>
                  </w:r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 CMOS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Hasselblad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: 20 МП, формат RAW,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скорость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съемки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5,1K/50 и до 4K/120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кадров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за секунду,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диапазон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светосилы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- f/2.8 - f/11.</w:t>
                  </w:r>
                </w:p>
                <w:p w14:paraId="3E871CCD" w14:textId="77777777" w:rsidR="0097041E" w:rsidRPr="006622F9" w:rsidRDefault="0097041E" w:rsidP="0097041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Chars="100" w:firstLine="220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Средняя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телекамера: 70 мм, 48 МП,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оптический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зум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до 7х;</w:t>
                  </w:r>
                </w:p>
                <w:p w14:paraId="6068C009" w14:textId="77777777" w:rsidR="0097041E" w:rsidRPr="006622F9" w:rsidRDefault="0097041E" w:rsidP="0097041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Chars="100" w:firstLine="220"/>
                    <w:rPr>
                      <w:rFonts w:ascii="Times New Roman" w:hAnsi="Times New Roman" w:cs="Times New Roman"/>
                      <w:lang w:val="uk-UA"/>
                    </w:rPr>
                  </w:pPr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Телекамера: 166 мм, 12 МП,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оптический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>зум</w:t>
                  </w:r>
                  <w:proofErr w:type="spellEnd"/>
                  <w:r w:rsidRPr="006622F9">
                    <w:rPr>
                      <w:rFonts w:ascii="Times New Roman" w:hAnsi="Times New Roman" w:cs="Times New Roman"/>
                      <w:lang w:val="uk-UA"/>
                    </w:rPr>
                    <w:t xml:space="preserve"> до 7</w:t>
                  </w:r>
                </w:p>
                <w:p w14:paraId="2D9BF1C3" w14:textId="77777777" w:rsidR="0097041E" w:rsidRDefault="0097041E" w:rsidP="0097041E">
                  <w:pPr>
                    <w:spacing w:after="0" w:line="240" w:lineRule="auto"/>
                    <w:ind w:firstLineChars="100" w:firstLine="220"/>
                  </w:pPr>
                </w:p>
              </w:tc>
            </w:tr>
            <w:tr w:rsidR="0097041E" w:rsidRPr="000B7508" w14:paraId="35A6E811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2A7D3" w14:textId="77777777" w:rsidR="0097041E" w:rsidRPr="00832C6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Екран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D3780" w14:textId="77777777" w:rsidR="0097041E" w:rsidRPr="006622F9" w:rsidRDefault="0097041E" w:rsidP="0097041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Chars="100" w:firstLine="220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5,5 дюймів</w:t>
                  </w:r>
                </w:p>
              </w:tc>
            </w:tr>
            <w:tr w:rsidR="0097041E" w:rsidRPr="000B7508" w14:paraId="013F3A7F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1A15A" w14:textId="77777777" w:rsidR="0097041E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Автономність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37D6FC" w14:textId="77777777" w:rsidR="0097041E" w:rsidRDefault="0097041E" w:rsidP="0097041E">
                  <w:pPr>
                    <w:spacing w:after="0" w:line="240" w:lineRule="auto"/>
                    <w:ind w:left="940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Не менше 3 годин</w:t>
                  </w:r>
                </w:p>
              </w:tc>
            </w:tr>
            <w:tr w:rsidR="0097041E" w:rsidRPr="000B7508" w14:paraId="2A8ADF0F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3CF68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Діапазон робочих температур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8CE9B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от -10° до 40° C</w:t>
                  </w:r>
                </w:p>
              </w:tc>
            </w:tr>
            <w:tr w:rsidR="0097041E" w:rsidRPr="000B7508" w14:paraId="0F052056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C189E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Супутникові системи позиціонування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93AE3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GPS, Галілео</w:t>
                  </w:r>
                </w:p>
              </w:tc>
            </w:tr>
            <w:tr w:rsidR="0097041E" w:rsidRPr="000B7508" w14:paraId="7761AF18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63F1C" w14:textId="77777777" w:rsidR="0097041E" w:rsidRPr="007D7DE6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Стабілізація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FF408" w14:textId="77777777" w:rsidR="0097041E" w:rsidRPr="007D7DE6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 трьох осях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(нахил,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крен,панорамування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)</w:t>
                  </w:r>
                </w:p>
              </w:tc>
            </w:tr>
            <w:tr w:rsidR="0097041E" w:rsidRPr="000B7508" w14:paraId="560902F2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23E7" w14:textId="77777777" w:rsidR="0097041E" w:rsidRPr="007D7DE6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Фото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93C3E" w14:textId="77777777" w:rsidR="0097041E" w:rsidRPr="007D7DE6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JPEG, RAW</w:t>
                  </w:r>
                </w:p>
              </w:tc>
            </w:tr>
            <w:tr w:rsidR="0097041E" w:rsidRPr="000B7508" w14:paraId="2AB747B4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2D163" w14:textId="77777777" w:rsidR="0097041E" w:rsidRPr="007D7DE6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Відео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783C6" w14:textId="77777777" w:rsidR="0097041E" w:rsidRPr="007D7DE6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MOV, MP4</w:t>
                  </w:r>
                </w:p>
              </w:tc>
            </w:tr>
            <w:tr w:rsidR="0097041E" w:rsidRPr="000B7508" w14:paraId="0E6937A3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69922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Робочі температури пульта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D97E7" w14:textId="77777777" w:rsidR="0097041E" w:rsidRPr="000B750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-10° - 40° C</w:t>
                  </w:r>
                </w:p>
              </w:tc>
            </w:tr>
            <w:tr w:rsidR="0097041E" w:rsidRPr="000B7508" w14:paraId="0AE00011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81CF6" w14:textId="77777777" w:rsidR="0097041E" w:rsidRPr="007D7DE6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Ємність батареї </w:t>
                  </w:r>
                  <w:proofErr w:type="spellStart"/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квадрокоптера</w:t>
                  </w:r>
                  <w:proofErr w:type="spellEnd"/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C04C7" w14:textId="77777777" w:rsidR="0097041E" w:rsidRPr="007D7DE6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5000 </w:t>
                  </w:r>
                  <w:proofErr w:type="spellStart"/>
                  <w:r w:rsidRPr="007D7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mAh</w:t>
                  </w:r>
                  <w:proofErr w:type="spellEnd"/>
                </w:p>
              </w:tc>
            </w:tr>
            <w:tr w:rsidR="0097041E" w:rsidRPr="000B7508" w14:paraId="398A71C4" w14:textId="77777777" w:rsidTr="00D041C1">
              <w:trPr>
                <w:trHeight w:val="31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F4160" w14:textId="77777777" w:rsidR="0097041E" w:rsidRPr="00832C6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r w:rsidRPr="00832C6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  <w:t xml:space="preserve">Тип батареї </w:t>
                  </w:r>
                  <w:proofErr w:type="spellStart"/>
                  <w:r w:rsidRPr="00832C6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  <w:t>квадрокоптера</w:t>
                  </w:r>
                  <w:proofErr w:type="spellEnd"/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BEF5D" w14:textId="77777777" w:rsidR="0097041E" w:rsidRPr="00832C68" w:rsidRDefault="0097041E" w:rsidP="0097041E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832C6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  <w:t>Li-Ion</w:t>
                  </w:r>
                  <w:proofErr w:type="spellEnd"/>
                </w:p>
              </w:tc>
            </w:tr>
            <w:tr w:rsidR="0097041E" w:rsidRPr="00770924" w14:paraId="4A4A11F3" w14:textId="77777777" w:rsidTr="00D041C1">
              <w:trPr>
                <w:trHeight w:val="1575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B41C6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0B75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Комплектація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70D09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Квадрокоптер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DJI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Mavic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Pro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1 шт.;</w:t>
                  </w:r>
                </w:p>
                <w:p w14:paraId="799C16BD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Пульт дистанційного керування DJI RC – 1 шт.;</w:t>
                  </w:r>
                </w:p>
                <w:p w14:paraId="74215641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3) Запасні ручки управління DJI RC (пара) – 1 шт.;</w:t>
                  </w:r>
                </w:p>
                <w:p w14:paraId="3DF6F6B9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4) Інтелектуальна льотна батарея </w:t>
                  </w:r>
                  <w:proofErr w:type="spellStart"/>
                  <w:r w:rsidRPr="009A7EB8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DJIMavic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 </w:t>
                  </w:r>
                  <w:proofErr w:type="spellStart"/>
                  <w:r w:rsidRPr="009A7EB8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Intelligent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A7EB8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Flight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A7EB8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Battery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1 шт.;</w:t>
                  </w:r>
                </w:p>
                <w:p w14:paraId="4663DB77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Пропелери DJI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Mavic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з низьким рівнем шуму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Low-Noise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(пара) – 3 шт.;</w:t>
                  </w:r>
                </w:p>
                <w:p w14:paraId="7FE75046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Портативний зарядний пристрій DJI 65 Вт – 1 шт.;</w:t>
                  </w:r>
                </w:p>
                <w:p w14:paraId="67FF8AC8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7) </w:t>
                  </w: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Кабель USB 3.0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Type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-C – 1 шт.;</w:t>
                  </w:r>
                </w:p>
                <w:p w14:paraId="517C1683" w14:textId="77777777" w:rsidR="0097041E" w:rsidRPr="0061177C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8) Чохол для зберігання DJI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Mavic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</w:t>
                  </w:r>
                  <w:proofErr w:type="spellStart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</w:t>
                  </w:r>
                  <w:proofErr w:type="spellEnd"/>
                  <w:r w:rsidRPr="006117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шт.;</w:t>
                  </w:r>
                </w:p>
                <w:p w14:paraId="20788319" w14:textId="77777777" w:rsidR="0097041E" w:rsidRPr="000B7508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70924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9) Інструкція з використання або настанова з експлуатації або посібник користувача (українською мовою) тощо – 1 шт.</w:t>
                  </w:r>
                </w:p>
              </w:tc>
            </w:tr>
            <w:tr w:rsidR="0097041E" w:rsidRPr="0061177C" w14:paraId="27573A1B" w14:textId="77777777" w:rsidTr="0026284B">
              <w:trPr>
                <w:trHeight w:val="789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F7624" w14:textId="77777777" w:rsidR="0097041E" w:rsidRPr="00D35361" w:rsidRDefault="0097041E" w:rsidP="00970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353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Стан обладнання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3F4E7" w14:textId="77777777" w:rsidR="0097041E" w:rsidRPr="00D35361" w:rsidRDefault="0097041E" w:rsidP="0097041E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3536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Нове, в експлуатації не було</w:t>
                  </w:r>
                </w:p>
              </w:tc>
            </w:tr>
            <w:tr w:rsidR="0097041E" w:rsidRPr="0061177C" w14:paraId="59313882" w14:textId="77777777" w:rsidTr="0026284B">
              <w:trPr>
                <w:trHeight w:val="930"/>
              </w:trPr>
              <w:tc>
                <w:tcPr>
                  <w:tcW w:w="26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CDEC5" w14:textId="77777777" w:rsidR="0097041E" w:rsidRPr="00D35361" w:rsidRDefault="0097041E" w:rsidP="0097041E">
                  <w:pPr>
                    <w:spacing w:after="0" w:line="240" w:lineRule="auto"/>
                    <w:rPr>
                      <w:rStyle w:val="fontstyle01"/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D353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Виробник товару</w:t>
                  </w:r>
                </w:p>
              </w:tc>
              <w:tc>
                <w:tcPr>
                  <w:tcW w:w="2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B17E9" w14:textId="77777777" w:rsidR="0097041E" w:rsidRPr="00D35361" w:rsidRDefault="0097041E" w:rsidP="0097041E">
                  <w:pPr>
                    <w:pStyle w:val="TableParagraph"/>
                    <w:rPr>
                      <w:rStyle w:val="fontstyle01"/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3536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SZ DJI </w:t>
                  </w:r>
                  <w:proofErr w:type="spellStart"/>
                  <w:r w:rsidRPr="00D3536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TechnologyCo</w:t>
                  </w:r>
                  <w:proofErr w:type="spellEnd"/>
                  <w:r w:rsidRPr="00D3536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D3536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Ltd</w:t>
                  </w:r>
                  <w:proofErr w:type="spellEnd"/>
                  <w:r w:rsidRPr="00D3536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 </w:t>
                  </w:r>
                </w:p>
              </w:tc>
            </w:tr>
          </w:tbl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68CF38E2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вартість </w:t>
            </w:r>
            <w:proofErr w:type="spellStart"/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квадрокоптерів</w:t>
            </w:r>
            <w:proofErr w:type="spellEnd"/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була сформована на момент підготовки документів для участі в обласному  проекті «БЕЗПЕЧНІ СТІЙКІ ГРОМАДИ»  «Разом до Перемоги- Козятинська громада підтримує ЗСУ» 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6A229FCC" w:rsidR="000358FC" w:rsidRPr="001F38B0" w:rsidRDefault="0026284B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2 000 000,00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Два мільйона 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ПДВ.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( 980000,00- Фонд обласного бюджету, 1020000,00-Фонд місцевого бюджету)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717281C6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 по 3 цінові пропозиції. Середня ринкова вартість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квадрокоптерів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була сформована на момент підготовки документів для участі в обласному  проекті «БЕЗПЕЧНІ СТІЙКІ ГРОМАДИ»  «Разом до Перемоги- Козятинська громада підтримує ЗСУ» 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352B90"/>
    <w:rsid w:val="00355CCB"/>
    <w:rsid w:val="004426EA"/>
    <w:rsid w:val="004A4670"/>
    <w:rsid w:val="0058607F"/>
    <w:rsid w:val="00591833"/>
    <w:rsid w:val="005B418E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12AD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box.ua/ua/category/Kvadrokopteri-c7417/filter=113349-860651702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box.ua/ua/category/Kvadrokopteri-c7417/filter=113347-860651701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box.ua/ua/category/Kvadrokopteri-c7417/filter=113341-86031003100/" TargetMode="External"/><Relationship Id="rId5" Type="http://schemas.openxmlformats.org/officeDocument/2006/relationships/hyperlink" Target="https://my.zakupivli.pro/cabinet/purchases/state_plan/view/306717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2024-11-01T10:08:00Z</cp:lastPrinted>
  <dcterms:created xsi:type="dcterms:W3CDTF">2022-07-25T09:06:00Z</dcterms:created>
  <dcterms:modified xsi:type="dcterms:W3CDTF">2024-11-01T10:08:00Z</dcterms:modified>
</cp:coreProperties>
</file>