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B9F" w:rsidRPr="006C2B9F" w:rsidRDefault="006C2B9F" w:rsidP="006C2B9F">
      <w:pPr>
        <w:pStyle w:val="a5"/>
        <w:jc w:val="center"/>
        <w:rPr>
          <w:rFonts w:ascii="Times New Roman" w:hAnsi="Times New Roman" w:cs="Times New Roman"/>
          <w:b/>
          <w:i/>
          <w:sz w:val="28"/>
          <w:szCs w:val="28"/>
          <w:lang w:eastAsia="uk-UA"/>
        </w:rPr>
      </w:pPr>
      <w:r w:rsidRPr="006C2B9F">
        <w:rPr>
          <w:rFonts w:ascii="Times New Roman" w:hAnsi="Times New Roman" w:cs="Times New Roman"/>
          <w:b/>
          <w:i/>
          <w:sz w:val="28"/>
          <w:szCs w:val="28"/>
          <w:lang w:eastAsia="uk-UA"/>
        </w:rPr>
        <w:t>3 лютого 2021 року НАЗК затвердило та опублікувало оновлені Роз’яснення щодо застосування антикорупційного законодавства (</w:t>
      </w:r>
      <w:hyperlink r:id="rId5" w:history="1">
        <w:r w:rsidRPr="006C2B9F">
          <w:rPr>
            <w:rFonts w:ascii="Times New Roman" w:hAnsi="Times New Roman" w:cs="Times New Roman"/>
            <w:b/>
            <w:i/>
            <w:color w:val="079ED9"/>
            <w:sz w:val="28"/>
            <w:szCs w:val="28"/>
            <w:u w:val="single"/>
            <w:lang w:eastAsia="uk-UA"/>
          </w:rPr>
          <w:t>https://bit.ly/3b8bCeR</w:t>
        </w:r>
      </w:hyperlink>
      <w:r w:rsidRPr="006C2B9F">
        <w:rPr>
          <w:rFonts w:ascii="Times New Roman" w:hAnsi="Times New Roman" w:cs="Times New Roman"/>
          <w:b/>
          <w:i/>
          <w:sz w:val="28"/>
          <w:szCs w:val="28"/>
          <w:lang w:eastAsia="uk-UA"/>
        </w:rPr>
        <w:t>).</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У роз’ясненнях наявні оновлення, пов’язані із змінами законодавства (Закони України від 15.12.2020 № 1079-ІХ та від 04.12.2020 № 1074-ІХ). Також НАЗК максимально врахувало інтереси декларантів та додало відповіді на питання, які часто надходили до Агентства за минулий рік.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Для того, щоб полегшити пр</w:t>
      </w:r>
      <w:r>
        <w:rPr>
          <w:rFonts w:ascii="Times New Roman" w:hAnsi="Times New Roman" w:cs="Times New Roman"/>
          <w:sz w:val="28"/>
          <w:szCs w:val="28"/>
          <w:lang w:eastAsia="uk-UA"/>
        </w:rPr>
        <w:t>оцес декларування пропонуємо</w:t>
      </w:r>
      <w:r w:rsidRPr="006C2B9F">
        <w:rPr>
          <w:rFonts w:ascii="Times New Roman" w:hAnsi="Times New Roman" w:cs="Times New Roman"/>
          <w:sz w:val="28"/>
          <w:szCs w:val="28"/>
          <w:lang w:eastAsia="uk-UA"/>
        </w:rPr>
        <w:t xml:space="preserve"> повний перелік оновлень, які з’явилися в Роз’ясненнях, по розділах.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1 «Тип декларації та звітний період»</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Декларація </w:t>
      </w:r>
      <w:r w:rsidRPr="006C2B9F">
        <w:rPr>
          <w:rFonts w:ascii="Times New Roman" w:hAnsi="Times New Roman" w:cs="Times New Roman"/>
          <w:b/>
          <w:bCs/>
          <w:i/>
          <w:iCs/>
          <w:sz w:val="28"/>
          <w:szCs w:val="28"/>
          <w:lang w:eastAsia="uk-UA"/>
        </w:rPr>
        <w:t>«</w:t>
      </w:r>
      <w:r w:rsidRPr="006C2B9F">
        <w:rPr>
          <w:rFonts w:ascii="Times New Roman" w:hAnsi="Times New Roman" w:cs="Times New Roman"/>
          <w:sz w:val="28"/>
          <w:szCs w:val="28"/>
          <w:lang w:eastAsia="uk-UA"/>
        </w:rPr>
        <w:t>перед звільненням</w:t>
      </w:r>
      <w:r w:rsidRPr="006C2B9F">
        <w:rPr>
          <w:rFonts w:ascii="Times New Roman" w:hAnsi="Times New Roman" w:cs="Times New Roman"/>
          <w:b/>
          <w:bCs/>
          <w:i/>
          <w:iCs/>
          <w:sz w:val="28"/>
          <w:szCs w:val="28"/>
          <w:lang w:eastAsia="uk-UA"/>
        </w:rPr>
        <w:t>»</w:t>
      </w:r>
      <w:r w:rsidRPr="006C2B9F">
        <w:rPr>
          <w:rFonts w:ascii="Times New Roman" w:hAnsi="Times New Roman" w:cs="Times New Roman"/>
          <w:sz w:val="28"/>
          <w:szCs w:val="28"/>
          <w:lang w:eastAsia="uk-UA"/>
        </w:rPr>
        <w:t> не подається, якщо особа, яка звільнилася, але упродовж 20 робочих днів прийнята на роботу пов’язану з виконанням функцій держави або місцевого самоврядування (пункт 7 Роз’яснень).</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Особи, які переводяться з посади, пов’язаної з виконанням функцій держави або місцевого самоврядування, на посаду, яка не пов’язана з виконанням таких функцій (без звільнення), зобов’язані подати декларацію </w:t>
      </w:r>
      <w:r w:rsidRPr="006C2B9F">
        <w:rPr>
          <w:rFonts w:ascii="Times New Roman" w:hAnsi="Times New Roman" w:cs="Times New Roman"/>
          <w:b/>
          <w:bCs/>
          <w:i/>
          <w:iCs/>
          <w:sz w:val="28"/>
          <w:szCs w:val="28"/>
          <w:lang w:eastAsia="uk-UA"/>
        </w:rPr>
        <w:t>«</w:t>
      </w:r>
      <w:r w:rsidRPr="006C2B9F">
        <w:rPr>
          <w:rFonts w:ascii="Times New Roman" w:hAnsi="Times New Roman" w:cs="Times New Roman"/>
          <w:sz w:val="28"/>
          <w:szCs w:val="28"/>
          <w:lang w:eastAsia="uk-UA"/>
        </w:rPr>
        <w:t>перед звільненням</w:t>
      </w:r>
      <w:r w:rsidRPr="006C2B9F">
        <w:rPr>
          <w:rFonts w:ascii="Times New Roman" w:hAnsi="Times New Roman" w:cs="Times New Roman"/>
          <w:b/>
          <w:bCs/>
          <w:i/>
          <w:iCs/>
          <w:sz w:val="28"/>
          <w:szCs w:val="28"/>
          <w:lang w:eastAsia="uk-UA"/>
        </w:rPr>
        <w:t>»</w:t>
      </w:r>
      <w:r w:rsidRPr="006C2B9F">
        <w:rPr>
          <w:rFonts w:ascii="Times New Roman" w:hAnsi="Times New Roman" w:cs="Times New Roman"/>
          <w:sz w:val="28"/>
          <w:szCs w:val="28"/>
          <w:lang w:eastAsia="uk-UA"/>
        </w:rPr>
        <w:t> та </w:t>
      </w:r>
      <w:r w:rsidRPr="006C2B9F">
        <w:rPr>
          <w:rFonts w:ascii="Times New Roman" w:hAnsi="Times New Roman" w:cs="Times New Roman"/>
          <w:b/>
          <w:bCs/>
          <w:i/>
          <w:iCs/>
          <w:sz w:val="28"/>
          <w:szCs w:val="28"/>
          <w:lang w:eastAsia="uk-UA"/>
        </w:rPr>
        <w:t>«</w:t>
      </w:r>
      <w:r w:rsidRPr="006C2B9F">
        <w:rPr>
          <w:rFonts w:ascii="Times New Roman" w:hAnsi="Times New Roman" w:cs="Times New Roman"/>
          <w:sz w:val="28"/>
          <w:szCs w:val="28"/>
          <w:lang w:eastAsia="uk-UA"/>
        </w:rPr>
        <w:t>після звільнення</w:t>
      </w:r>
      <w:r w:rsidRPr="006C2B9F">
        <w:rPr>
          <w:rFonts w:ascii="Times New Roman" w:hAnsi="Times New Roman" w:cs="Times New Roman"/>
          <w:b/>
          <w:bCs/>
          <w:i/>
          <w:iCs/>
          <w:sz w:val="28"/>
          <w:szCs w:val="28"/>
          <w:lang w:eastAsia="uk-UA"/>
        </w:rPr>
        <w:t>»</w:t>
      </w:r>
      <w:r w:rsidRPr="006C2B9F">
        <w:rPr>
          <w:rFonts w:ascii="Times New Roman" w:hAnsi="Times New Roman" w:cs="Times New Roman"/>
          <w:sz w:val="28"/>
          <w:szCs w:val="28"/>
          <w:lang w:eastAsia="uk-UA"/>
        </w:rPr>
        <w:t> (пункт 8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6" w:history="1">
        <w:r w:rsidRPr="006C2B9F">
          <w:rPr>
            <w:rFonts w:ascii="Times New Roman" w:hAnsi="Times New Roman" w:cs="Times New Roman"/>
            <w:color w:val="079ED9"/>
            <w:sz w:val="28"/>
            <w:szCs w:val="28"/>
            <w:u w:val="single"/>
            <w:lang w:eastAsia="uk-UA"/>
          </w:rPr>
          <w:t> https://bit.ly/2Nf6FZJ</w:t>
        </w:r>
      </w:hyperlink>
      <w:r w:rsidRPr="006C2B9F">
        <w:rPr>
          <w:rFonts w:ascii="Times New Roman" w:hAnsi="Times New Roman" w:cs="Times New Roman"/>
          <w:sz w:val="28"/>
          <w:szCs w:val="28"/>
          <w:lang w:eastAsia="uk-UA"/>
        </w:rPr>
        <w:t>.</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Зміни щодо суб’єктів декларування</w:t>
      </w:r>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Посадові особи відокремлених структурних підрозділів та дочірніх підприємств юридичної особи публічного права є суб’єктами декларування (пункт 19 Роз’яснення).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Роз’яснено умови, за яких не поширюються вимоги фінансового контролю  на посадових осіб, які здійснюють свою основну діяльність у сфері: соціального обслуговування населення</w:t>
      </w:r>
      <w:r w:rsidRPr="006C2B9F">
        <w:rPr>
          <w:rFonts w:ascii="Times New Roman" w:hAnsi="Times New Roman" w:cs="Times New Roman"/>
          <w:b/>
          <w:bCs/>
          <w:sz w:val="28"/>
          <w:szCs w:val="28"/>
          <w:lang w:eastAsia="uk-UA"/>
        </w:rPr>
        <w:t>, </w:t>
      </w:r>
      <w:r w:rsidRPr="006C2B9F">
        <w:rPr>
          <w:rFonts w:ascii="Times New Roman" w:hAnsi="Times New Roman" w:cs="Times New Roman"/>
          <w:sz w:val="28"/>
          <w:szCs w:val="28"/>
          <w:lang w:eastAsia="uk-UA"/>
        </w:rPr>
        <w:t>освіти, культури</w:t>
      </w:r>
      <w:r w:rsidRPr="006C2B9F">
        <w:rPr>
          <w:rFonts w:ascii="Times New Roman" w:hAnsi="Times New Roman" w:cs="Times New Roman"/>
          <w:b/>
          <w:bCs/>
          <w:sz w:val="28"/>
          <w:szCs w:val="28"/>
          <w:lang w:eastAsia="uk-UA"/>
        </w:rPr>
        <w:t>, </w:t>
      </w:r>
      <w:r w:rsidRPr="006C2B9F">
        <w:rPr>
          <w:rFonts w:ascii="Times New Roman" w:hAnsi="Times New Roman" w:cs="Times New Roman"/>
          <w:sz w:val="28"/>
          <w:szCs w:val="28"/>
          <w:lang w:eastAsia="uk-UA"/>
        </w:rPr>
        <w:t>фізичної культури, спорту, науки та охорони здоров’я (пункти 23, 24, 25, 26, 27, 28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7" w:history="1">
        <w:r w:rsidRPr="006C2B9F">
          <w:rPr>
            <w:rFonts w:ascii="Times New Roman" w:hAnsi="Times New Roman" w:cs="Times New Roman"/>
            <w:color w:val="079ED9"/>
            <w:sz w:val="28"/>
            <w:szCs w:val="28"/>
            <w:u w:val="single"/>
            <w:lang w:eastAsia="uk-UA"/>
          </w:rPr>
          <w:t> https://bit.ly/37pbyqe</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2.2. «Інформація про членів сім’ї суб’єкта декларування»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Вказувати відомості про члена сім’ї, який у звітному періоді помер, не потрібно. Проте, відомості про всі об’єкти декларування, які належали померлому, якими користувався суб’єкт декларування або інші члени його сім’ї більше половини днів звітного періоду або на кінець звітного періоді, підлягають відображенню у відповідних розділах декларації (нерухомість, транспортні засоби тощо) (пункт 48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8" w:history="1">
        <w:r w:rsidRPr="006C2B9F">
          <w:rPr>
            <w:rFonts w:ascii="Times New Roman" w:hAnsi="Times New Roman" w:cs="Times New Roman"/>
            <w:color w:val="079ED9"/>
            <w:sz w:val="28"/>
            <w:szCs w:val="28"/>
            <w:u w:val="single"/>
            <w:lang w:eastAsia="uk-UA"/>
          </w:rPr>
          <w:t> https://bit.ly/3at8Bqq</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3. «Об’єкти нерухомості»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Об’єкт нерухомості, який є зареєстрованим місцем проживання, без закріплення конкретної кімнати, житлової площі, що має індивідуальні ознаки (гуртожиток, військова частина) можна не зазначати (п. 78 Роз’яснення).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Наведено умови, за яких відомості про земельні ділянки не декларуються (пункт 74, 77 Роз’яснення). </w:t>
      </w:r>
    </w:p>
    <w:p w:rsid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9" w:history="1">
        <w:r w:rsidRPr="006C2B9F">
          <w:rPr>
            <w:rFonts w:ascii="Times New Roman" w:hAnsi="Times New Roman" w:cs="Times New Roman"/>
            <w:color w:val="079ED9"/>
            <w:sz w:val="28"/>
            <w:szCs w:val="28"/>
            <w:u w:val="single"/>
            <w:lang w:eastAsia="uk-UA"/>
          </w:rPr>
          <w:t> https://bit.ly/3u32j8K</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lastRenderedPageBreak/>
        <w:t>Розділ 4. «Об’єкти незавершеного будівництва»</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Якщо декларант придбав квартиру у багатоквартирному будинку, будівництво якого ще не завершене, у разі набуття майнових прав на квартиру він має вказати її у декларації (пункт 88 Роз’яснення).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Зверніть увагу, що укладення попереднього договору без укладення основного договору, предметом якого є майнові права на майбутній об’єкт нерухомості,  не потрібно зазначати у розділі 4 «Об’єкти незавершеного будівництва» декларації. Така інформація вказується в інших розділах за таких умов:  якщо разовий видаток суб’єкта декларування більше 50 прожиткових мінімумів для працездатних осіб на 1 січня звітного періоду (ПМ) – у розділі 14 «Видатки та правочини суб’єкта декларування»; якщо зобов’язання більше 50 ПМ – у розділі 13 «Фінансові зобов’язання» (пункт 89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Роз’яснено, як декларувати відомості про цінні папери, право на які набуто внаслідок укладення договору, предметом якого є об’єкт, що будується (пункт 90 Роз’яснення).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*У 2020 році 50 ПМ становили 105 тис. 100 грн.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10" w:history="1">
        <w:r w:rsidRPr="006C2B9F">
          <w:rPr>
            <w:rFonts w:ascii="Times New Roman" w:hAnsi="Times New Roman" w:cs="Times New Roman"/>
            <w:color w:val="079ED9"/>
            <w:sz w:val="28"/>
            <w:szCs w:val="28"/>
            <w:u w:val="single"/>
            <w:lang w:eastAsia="uk-UA"/>
          </w:rPr>
          <w:t> https://bit.ly/2NzNCcm</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5. «Цінне рухоме майно (крім транспортних засобів)»</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У декларації не зазначаються відомості про цінне рухоме майно, зазначене у декларації  попереднього звітного періоду (із зазначенням вартості), якщо у звітному періоді вартість такого цінного майна не перевищує поріг декларування у 100 ПМ, встановлений для звітного періоду, крім майна, стосовно вартості якого суб’єкт декларування обрав позначку «Не відомо» і не проводив у подальшому його грошову оцінку (пункт 94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*У 2020 році 100 ПМ становили 210 тис. 200 грн.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11" w:history="1">
        <w:r w:rsidRPr="006C2B9F">
          <w:rPr>
            <w:rFonts w:ascii="Times New Roman" w:hAnsi="Times New Roman" w:cs="Times New Roman"/>
            <w:color w:val="079ED9"/>
            <w:sz w:val="28"/>
            <w:szCs w:val="28"/>
            <w:u w:val="single"/>
            <w:lang w:eastAsia="uk-UA"/>
          </w:rPr>
          <w:t> https://bit.ly/37jZdUg</w:t>
        </w:r>
      </w:hyperlink>
      <w:r w:rsidRPr="006C2B9F">
        <w:rPr>
          <w:rFonts w:ascii="Times New Roman" w:hAnsi="Times New Roman" w:cs="Times New Roman"/>
          <w:sz w:val="28"/>
          <w:szCs w:val="28"/>
          <w:lang w:eastAsia="uk-UA"/>
        </w:rPr>
        <w:t>.  </w:t>
      </w:r>
      <w:r w:rsidRPr="006C2B9F">
        <w:rPr>
          <w:rFonts w:ascii="Times New Roman" w:hAnsi="Times New Roman" w:cs="Times New Roman"/>
          <w:b/>
          <w:bCs/>
          <w:i/>
          <w:iCs/>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6. «Цінне рухоме майно – транспортні засоби»</w:t>
      </w:r>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Кошти, витрачені  на ремонт автомобіля не включаються до його вартості (пункт 98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Нерозмитнений транспортний засіб, який належить на праві власності третій особі, але яким суб’єкт декларування або члени його сім’ї користувалися у звітному періоді половину днів звітного періоду або на кінець звітного періоду необхідно зазначати в декларації (пункт 104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Службові транспортні засоби не підлягають декларуванню (пункт 105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Транспортний засіб, який належить суб’єкту декларування або членам його сім’ї, що перебуває в їх володінні або користуванні (на кінець звітного періоду, або половину днів звітного періоду) підлягає декларуванню незалежно від форми правочину, внаслідок якого набуте таке право (пункт 106 Роз’яснення).</w:t>
      </w:r>
    </w:p>
    <w:p w:rsid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12" w:history="1">
        <w:r w:rsidRPr="006C2B9F">
          <w:rPr>
            <w:rFonts w:ascii="Times New Roman" w:hAnsi="Times New Roman" w:cs="Times New Roman"/>
            <w:color w:val="079ED9"/>
            <w:sz w:val="28"/>
            <w:szCs w:val="28"/>
            <w:u w:val="single"/>
            <w:lang w:eastAsia="uk-UA"/>
          </w:rPr>
          <w:t> https://bit.ly/37kxv9I</w:t>
        </w:r>
      </w:hyperlink>
      <w:r w:rsidRPr="006C2B9F">
        <w:rPr>
          <w:rFonts w:ascii="Times New Roman" w:hAnsi="Times New Roman" w:cs="Times New Roman"/>
          <w:sz w:val="28"/>
          <w:szCs w:val="28"/>
          <w:lang w:eastAsia="uk-UA"/>
        </w:rPr>
        <w:t>.  </w:t>
      </w:r>
    </w:p>
    <w:p w:rsidR="006C2B9F" w:rsidRDefault="006C2B9F" w:rsidP="006C2B9F">
      <w:pPr>
        <w:pStyle w:val="a5"/>
        <w:jc w:val="both"/>
        <w:rPr>
          <w:rFonts w:ascii="Times New Roman" w:hAnsi="Times New Roman" w:cs="Times New Roman"/>
          <w:sz w:val="28"/>
          <w:szCs w:val="28"/>
          <w:lang w:eastAsia="uk-UA"/>
        </w:rPr>
      </w:pPr>
    </w:p>
    <w:p w:rsidR="006C2B9F" w:rsidRDefault="006C2B9F" w:rsidP="006C2B9F">
      <w:pPr>
        <w:pStyle w:val="a5"/>
        <w:jc w:val="both"/>
        <w:rPr>
          <w:rFonts w:ascii="Times New Roman" w:hAnsi="Times New Roman" w:cs="Times New Roman"/>
          <w:sz w:val="28"/>
          <w:szCs w:val="28"/>
          <w:lang w:eastAsia="uk-UA"/>
        </w:rPr>
      </w:pPr>
    </w:p>
    <w:p w:rsidR="006C2B9F" w:rsidRDefault="006C2B9F" w:rsidP="006C2B9F">
      <w:pPr>
        <w:pStyle w:val="a5"/>
        <w:jc w:val="both"/>
        <w:rPr>
          <w:rFonts w:ascii="Times New Roman" w:hAnsi="Times New Roman" w:cs="Times New Roman"/>
          <w:sz w:val="28"/>
          <w:szCs w:val="28"/>
          <w:lang w:eastAsia="uk-UA"/>
        </w:rPr>
      </w:pPr>
    </w:p>
    <w:p w:rsidR="006C2B9F" w:rsidRPr="006C2B9F" w:rsidRDefault="006C2B9F" w:rsidP="006C2B9F">
      <w:pPr>
        <w:pStyle w:val="a5"/>
        <w:jc w:val="both"/>
        <w:rPr>
          <w:rFonts w:ascii="Times New Roman" w:hAnsi="Times New Roman" w:cs="Times New Roman"/>
          <w:sz w:val="28"/>
          <w:szCs w:val="28"/>
          <w:lang w:eastAsia="uk-UA"/>
        </w:rPr>
      </w:pP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7. «Цінні папери»</w:t>
      </w:r>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Датою набуття права на пакет цінних паперів </w:t>
      </w:r>
      <w:r w:rsidRPr="006C2B9F">
        <w:rPr>
          <w:rFonts w:ascii="Times New Roman" w:hAnsi="Times New Roman" w:cs="Times New Roman"/>
          <w:b/>
          <w:bCs/>
          <w:sz w:val="28"/>
          <w:szCs w:val="28"/>
          <w:lang w:eastAsia="uk-UA"/>
        </w:rPr>
        <w:t>одного виду одного емітента</w:t>
      </w:r>
      <w:r w:rsidRPr="006C2B9F">
        <w:rPr>
          <w:rFonts w:ascii="Times New Roman" w:hAnsi="Times New Roman" w:cs="Times New Roman"/>
          <w:sz w:val="28"/>
          <w:szCs w:val="28"/>
          <w:lang w:eastAsia="uk-UA"/>
        </w:rPr>
        <w:t>, право на який набуто внаслідок укладення декількох правочинів, є дата останнього правочину.</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Відомості про </w:t>
      </w:r>
      <w:r w:rsidRPr="006C2B9F">
        <w:rPr>
          <w:rFonts w:ascii="Times New Roman" w:hAnsi="Times New Roman" w:cs="Times New Roman"/>
          <w:b/>
          <w:bCs/>
          <w:sz w:val="28"/>
          <w:szCs w:val="28"/>
          <w:lang w:eastAsia="uk-UA"/>
        </w:rPr>
        <w:t>різні види</w:t>
      </w:r>
      <w:r w:rsidRPr="006C2B9F">
        <w:rPr>
          <w:rFonts w:ascii="Times New Roman" w:hAnsi="Times New Roman" w:cs="Times New Roman"/>
          <w:sz w:val="28"/>
          <w:szCs w:val="28"/>
          <w:lang w:eastAsia="uk-UA"/>
        </w:rPr>
        <w:t> цінних паперів </w:t>
      </w:r>
      <w:r w:rsidRPr="006C2B9F">
        <w:rPr>
          <w:rFonts w:ascii="Times New Roman" w:hAnsi="Times New Roman" w:cs="Times New Roman"/>
          <w:b/>
          <w:bCs/>
          <w:sz w:val="28"/>
          <w:szCs w:val="28"/>
          <w:lang w:eastAsia="uk-UA"/>
        </w:rPr>
        <w:t>одного емітента</w:t>
      </w:r>
      <w:r w:rsidRPr="006C2B9F">
        <w:rPr>
          <w:rFonts w:ascii="Times New Roman" w:hAnsi="Times New Roman" w:cs="Times New Roman"/>
          <w:sz w:val="28"/>
          <w:szCs w:val="28"/>
          <w:lang w:eastAsia="uk-UA"/>
        </w:rPr>
        <w:t> відображаються у декларації окремо.</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Якщо у звітному періоді суб’єкт декларування здійснював операції з купівлі та продажу акцій, відомості про це слід зазначати у розділі 14 «Видатки та правочини суб’єкта декларування», лише якщо розмір разового видатку або вартість предмета одного правочину перевищили 50 ПМ (пункт 110 Роз’яснення).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Також у роз’ясненнях зазначено докладніше про те як декларувати акції, які були придбані у суб’єкта декларування за процедурою примусового викупу (пункт 111, 148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13" w:history="1">
        <w:r w:rsidRPr="006C2B9F">
          <w:rPr>
            <w:rFonts w:ascii="Times New Roman" w:hAnsi="Times New Roman" w:cs="Times New Roman"/>
            <w:color w:val="079ED9"/>
            <w:sz w:val="28"/>
            <w:szCs w:val="28"/>
            <w:u w:val="single"/>
            <w:lang w:eastAsia="uk-UA"/>
          </w:rPr>
          <w:t> https://bit.ly/3jULw2W</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8 «Корпоративні права»</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Члени кооперативу є носіями корпоративних прав. Якщо розмір внеску до кооперативу у грошовому вираженні та його % неможливо визначити – у відповідних полях декларації необхідно обрати позначку «Не застосовується».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При цьому член кооперативу не може передати іншій особі своє право брати участь в управлінні кооперативом та відповідно передати в управління іншій особі свої корпоративні права в ньому, а отже наявність таких прав не свідчитиме про порушення обмежень щодо володіння корпоративними правами (пункт 116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14" w:history="1">
        <w:r w:rsidRPr="006C2B9F">
          <w:rPr>
            <w:rFonts w:ascii="Times New Roman" w:hAnsi="Times New Roman" w:cs="Times New Roman"/>
            <w:color w:val="079ED9"/>
            <w:sz w:val="28"/>
            <w:szCs w:val="28"/>
            <w:u w:val="single"/>
            <w:lang w:eastAsia="uk-UA"/>
          </w:rPr>
          <w:t> https://bit.ly/3puLqjP</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10. «Нематеріальні активи»</w:t>
      </w:r>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 xml:space="preserve">Вартість </w:t>
      </w:r>
      <w:proofErr w:type="spellStart"/>
      <w:r w:rsidRPr="006C2B9F">
        <w:rPr>
          <w:rFonts w:ascii="Times New Roman" w:hAnsi="Times New Roman" w:cs="Times New Roman"/>
          <w:sz w:val="28"/>
          <w:szCs w:val="28"/>
          <w:lang w:eastAsia="uk-UA"/>
        </w:rPr>
        <w:t>криптовалюти</w:t>
      </w:r>
      <w:proofErr w:type="spellEnd"/>
      <w:r w:rsidRPr="006C2B9F">
        <w:rPr>
          <w:rFonts w:ascii="Times New Roman" w:hAnsi="Times New Roman" w:cs="Times New Roman"/>
          <w:sz w:val="28"/>
          <w:szCs w:val="28"/>
          <w:lang w:eastAsia="uk-UA"/>
        </w:rPr>
        <w:t xml:space="preserve"> зазначається на дату набуття права, а не на кінець звітного періоду (пункт 122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15" w:history="1">
        <w:r w:rsidRPr="006C2B9F">
          <w:rPr>
            <w:rFonts w:ascii="Times New Roman" w:hAnsi="Times New Roman" w:cs="Times New Roman"/>
            <w:color w:val="079ED9"/>
            <w:sz w:val="28"/>
            <w:szCs w:val="28"/>
            <w:u w:val="single"/>
            <w:lang w:eastAsia="uk-UA"/>
          </w:rPr>
          <w:t> https://bit.ly/2ZmKymy</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11. «Доходи, у тому числі подарунки»</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Роз’яснено, як зазначати подарунок або матеріальну допомогу, отримані суб’єктом декларування або членом його сім’ї від декількох осіб, якщо встановити частку кожного неможливо (пункт 138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16" w:history="1">
        <w:r w:rsidRPr="006C2B9F">
          <w:rPr>
            <w:rFonts w:ascii="Times New Roman" w:hAnsi="Times New Roman" w:cs="Times New Roman"/>
            <w:color w:val="079ED9"/>
            <w:sz w:val="28"/>
            <w:szCs w:val="28"/>
            <w:u w:val="single"/>
            <w:lang w:eastAsia="uk-UA"/>
          </w:rPr>
          <w:t> https://bit.ly/3dk2N4i</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12. «Грошові активи»</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У розділі 12 «Грошові активи» декларації додатково необхідно відображати кошти, які отримані як доходи у звітному періоді, про що зазначено у розділі 11 «Доходи, у тому числі подарунки» декларації звітного періоду за умови, якщо їх залишок на кінець звітного періоду перевищує 50 ПМ.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lastRenderedPageBreak/>
        <w:t>Не потрібно декларувати грошові активи, сукупна вартість яких не перевищує 50 ПМ, встановлених на 1 січня звітного року (пункт 141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Надано чітке роз’яснення про те, що розуміється під активами у дорогоцінних (банківських) металах (пункт 142 Роз’яснення).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Кошти, які підлягають стягненню на користь суб’єкта декларування або члена його сім’ї на підставі рішення суду внаслідок завданої ним шкоди, чи з інших підстав, не пов’язаних із невиконанням умов договору, які не були виплачені у звітному періоді не є грошовими активами та декларуванню не підлягають (пункт 143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Кошти, які не були сплачені суб’єкту декларування/члену його сім’ї у зв’язку із невиконанням умов укладеного договору або строк сплати яких не настав, не є їхнім грошовим активом, крім коштів, позичених третій особі, відомості про які зазначаються в розділі 12 «Грошові активи» декларації за умов перевищення 50 ПМ (пункт 144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Кошти, позичені суб’єктом декларування/членом його сім’ї третім особам, розмір яких визначений рішенням суду, яке набуло законної сили, які не були виплачені (добровільно чи в порядку примусового виконання) у звітному періоді, підлягають відображенню у розділі 12 «Грошові активи» декларації як кошти, позичені третім особам (пункт 145 Роз’яснення). При цьому розмір позичених коштів вказується з урахуванням рішення суду.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17" w:history="1">
        <w:r w:rsidRPr="006C2B9F">
          <w:rPr>
            <w:rFonts w:ascii="Times New Roman" w:hAnsi="Times New Roman" w:cs="Times New Roman"/>
            <w:color w:val="079ED9"/>
            <w:sz w:val="28"/>
            <w:szCs w:val="28"/>
            <w:u w:val="single"/>
            <w:lang w:eastAsia="uk-UA"/>
          </w:rPr>
          <w:t> https://bit.ly/2M3OaXS</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12.1 «Банківські та інші фінансові установи, у яких відкрито рахунки суб’єкта декларування або членів його сім’ї</w:t>
      </w:r>
      <w:r w:rsidRPr="006C2B9F">
        <w:rPr>
          <w:rFonts w:ascii="Times New Roman" w:hAnsi="Times New Roman" w:cs="Times New Roman"/>
          <w:b/>
          <w:bCs/>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Необхідно зазначати у декларації всі банківські рахунки, відкриті суб’єктом декларування або членом його сім’ї, у тому числі як суб’єктом підприємницької діяльності (пункт 154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18" w:history="1">
        <w:r w:rsidRPr="006C2B9F">
          <w:rPr>
            <w:rFonts w:ascii="Times New Roman" w:hAnsi="Times New Roman" w:cs="Times New Roman"/>
            <w:color w:val="079ED9"/>
            <w:sz w:val="28"/>
            <w:szCs w:val="28"/>
            <w:u w:val="single"/>
            <w:lang w:eastAsia="uk-UA"/>
          </w:rPr>
          <w:t> https://bit.ly/3bfm30o</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14. «Видатки та правочини суб’єкта декларування»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 xml:space="preserve">Правочини, які не зумовлюють виникнення або припинення у суб’єкта декларування права власності, володіння чи користування на майно, нематеріальні та інші активи, у декларації не зазначаються. Наприклад, складення заповіту (оскільки право на спадкування виникає у день відкриття спадщини, тобто після смерті заповідача або оголошення його померлим), правочини з </w:t>
      </w:r>
      <w:proofErr w:type="spellStart"/>
      <w:r w:rsidRPr="006C2B9F">
        <w:rPr>
          <w:rFonts w:ascii="Times New Roman" w:hAnsi="Times New Roman" w:cs="Times New Roman"/>
          <w:sz w:val="28"/>
          <w:szCs w:val="28"/>
          <w:lang w:eastAsia="uk-UA"/>
        </w:rPr>
        <w:t>відкладальною</w:t>
      </w:r>
      <w:proofErr w:type="spellEnd"/>
      <w:r w:rsidRPr="006C2B9F">
        <w:rPr>
          <w:rFonts w:ascii="Times New Roman" w:hAnsi="Times New Roman" w:cs="Times New Roman"/>
          <w:sz w:val="28"/>
          <w:szCs w:val="28"/>
          <w:lang w:eastAsia="uk-UA"/>
        </w:rPr>
        <w:t xml:space="preserve"> обставиною (щодо яких правові наслідки пов’язуються з настанням певної обставини) (пункт 158 Роз’яснення).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 xml:space="preserve">Якщо суб’єкт декларування сам знищив своє майно, вартість якого більше 50 ПМ, то у </w:t>
      </w:r>
      <w:proofErr w:type="spellStart"/>
      <w:r w:rsidRPr="006C2B9F">
        <w:rPr>
          <w:rFonts w:ascii="Times New Roman" w:hAnsi="Times New Roman" w:cs="Times New Roman"/>
          <w:sz w:val="28"/>
          <w:szCs w:val="28"/>
          <w:lang w:eastAsia="uk-UA"/>
        </w:rPr>
        <w:t>у</w:t>
      </w:r>
      <w:proofErr w:type="spellEnd"/>
      <w:r w:rsidRPr="006C2B9F">
        <w:rPr>
          <w:rFonts w:ascii="Times New Roman" w:hAnsi="Times New Roman" w:cs="Times New Roman"/>
          <w:sz w:val="28"/>
          <w:szCs w:val="28"/>
          <w:lang w:eastAsia="uk-UA"/>
        </w:rPr>
        <w:t xml:space="preserve"> розділі 14  «Видатки та правочини суб’єкта декларування» декларації необхідно вказати відомості про правочин на підставі якого припинилося право на майно. Проте, якщо знищення речі було внаслідок непереборної сили, надзвичайної ситуації, збройного конфлікту, то це не вважається правочином (пункти 158, 185 Роз’яснення).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lastRenderedPageBreak/>
        <w:t>Роз’яснено, що вважається видатком для цілей декларування (пункт 158 Роз’яснення).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19" w:history="1">
        <w:r w:rsidRPr="006C2B9F">
          <w:rPr>
            <w:rFonts w:ascii="Times New Roman" w:hAnsi="Times New Roman" w:cs="Times New Roman"/>
            <w:color w:val="079ED9"/>
            <w:sz w:val="28"/>
            <w:szCs w:val="28"/>
            <w:u w:val="single"/>
            <w:lang w:eastAsia="uk-UA"/>
          </w:rPr>
          <w:t> https://bit.ly/3qxR464</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15. «Робота за сумісництвом суб’єкта декларування»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У розділі 15 «Робота за сумісництвом суб’єкта декларування» декларації необхідно відображати відомості про іншу роботу чи посаду, яку виконує (займає) суб’єкт декларування на підставі трудового договору (контракту), крім основної роботи, яка пов’язана з виконанням функцій держави або місцевого самоврядування (пункт 163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Обрання особи депутатом місцевої ради не є сумісництвом. Відомості про це, а також про місце його роботи (крім роботи за сумісництвом) не підлягають відображенню у цьому розділі (пункт 166 Роз’яснення).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У розділі 15 «Робота за сумісництвом суб’єкта декларування» декларації не підлягають відображенню відомості про представництво особами, уповноваженими на виконання функцій держави або місцевого самоврядування, інтересів держави в організаціях, входження таких осіб за своєю посадою до інших державних органів, крім випадків, коли входження таких осіб до інших державних органів здійснюється внаслідок укладення договору (контракту) (пункт 167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20" w:history="1">
        <w:r w:rsidRPr="006C2B9F">
          <w:rPr>
            <w:rFonts w:ascii="Times New Roman" w:hAnsi="Times New Roman" w:cs="Times New Roman"/>
            <w:color w:val="079ED9"/>
            <w:sz w:val="28"/>
            <w:szCs w:val="28"/>
            <w:u w:val="single"/>
            <w:lang w:eastAsia="uk-UA"/>
          </w:rPr>
          <w:t> https://bit.ly/3u7YhvW</w:t>
        </w:r>
      </w:hyperlink>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b/>
          <w:bCs/>
          <w:i/>
          <w:iCs/>
          <w:sz w:val="28"/>
          <w:szCs w:val="28"/>
          <w:lang w:eastAsia="uk-UA"/>
        </w:rPr>
        <w:t>Розділ 16. «Членство в організаціях та їх органах»</w:t>
      </w:r>
      <w:r w:rsidRPr="006C2B9F">
        <w:rPr>
          <w:rFonts w:ascii="Times New Roman" w:hAnsi="Times New Roman" w:cs="Times New Roman"/>
          <w:sz w:val="28"/>
          <w:szCs w:val="28"/>
          <w:lang w:eastAsia="uk-UA"/>
        </w:rPr>
        <w:t> </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У розділі 16 «Членство суб’єкта декларування в організаціях та їх органах» декларації не потрібно вказувати відомості про входження (членство) суб’єкта декларування за своєю посадою до інших державних органів (пункт 172 Роз’яснення).</w:t>
      </w:r>
    </w:p>
    <w:p w:rsidR="006C2B9F" w:rsidRPr="006C2B9F" w:rsidRDefault="006C2B9F" w:rsidP="006C2B9F">
      <w:pPr>
        <w:pStyle w:val="a5"/>
        <w:jc w:val="both"/>
        <w:rPr>
          <w:rFonts w:ascii="Times New Roman" w:hAnsi="Times New Roman" w:cs="Times New Roman"/>
          <w:sz w:val="28"/>
          <w:szCs w:val="28"/>
          <w:lang w:eastAsia="uk-UA"/>
        </w:rPr>
      </w:pPr>
      <w:r w:rsidRPr="006C2B9F">
        <w:rPr>
          <w:rFonts w:ascii="Times New Roman" w:hAnsi="Times New Roman" w:cs="Times New Roman"/>
          <w:sz w:val="28"/>
          <w:szCs w:val="28"/>
          <w:lang w:eastAsia="uk-UA"/>
        </w:rPr>
        <w:t>Докладніше:</w:t>
      </w:r>
      <w:hyperlink r:id="rId21" w:history="1">
        <w:r w:rsidRPr="006C2B9F">
          <w:rPr>
            <w:rFonts w:ascii="Times New Roman" w:hAnsi="Times New Roman" w:cs="Times New Roman"/>
            <w:color w:val="079ED9"/>
            <w:sz w:val="28"/>
            <w:szCs w:val="28"/>
            <w:u w:val="single"/>
            <w:lang w:eastAsia="uk-UA"/>
          </w:rPr>
          <w:t> https://bit.ly/3s6o0TH</w:t>
        </w:r>
      </w:hyperlink>
      <w:r w:rsidRPr="006C2B9F">
        <w:rPr>
          <w:rFonts w:ascii="Times New Roman" w:hAnsi="Times New Roman" w:cs="Times New Roman"/>
          <w:sz w:val="28"/>
          <w:szCs w:val="28"/>
          <w:lang w:eastAsia="uk-UA"/>
        </w:rPr>
        <w:t>.  </w:t>
      </w:r>
    </w:p>
    <w:p w:rsidR="006C2B9F" w:rsidRPr="006C2B9F" w:rsidRDefault="006C2B9F" w:rsidP="006C2B9F">
      <w:pPr>
        <w:pStyle w:val="a5"/>
        <w:jc w:val="center"/>
        <w:rPr>
          <w:rFonts w:ascii="Times New Roman" w:hAnsi="Times New Roman" w:cs="Times New Roman"/>
          <w:sz w:val="28"/>
          <w:szCs w:val="28"/>
          <w:lang w:eastAsia="uk-UA"/>
        </w:rPr>
      </w:pPr>
      <w:bookmarkStart w:id="0" w:name="_GoBack"/>
      <w:r w:rsidRPr="006C2B9F">
        <w:rPr>
          <w:rFonts w:ascii="Times New Roman" w:hAnsi="Times New Roman" w:cs="Times New Roman"/>
          <w:sz w:val="28"/>
          <w:szCs w:val="28"/>
          <w:lang w:eastAsia="uk-UA"/>
        </w:rPr>
        <w:t>Ознайомитися з оновленими Роз’ясненнями можливо за посиланням:</w:t>
      </w:r>
      <w:r>
        <w:rPr>
          <w:rFonts w:ascii="Times New Roman" w:hAnsi="Times New Roman" w:cs="Times New Roman"/>
          <w:sz w:val="28"/>
          <w:szCs w:val="28"/>
          <w:lang w:eastAsia="uk-UA"/>
        </w:rPr>
        <w:t xml:space="preserve"> </w:t>
      </w:r>
      <w:hyperlink r:id="rId22" w:history="1">
        <w:r w:rsidRPr="006C2B9F">
          <w:rPr>
            <w:rFonts w:ascii="Times New Roman" w:hAnsi="Times New Roman" w:cs="Times New Roman"/>
            <w:color w:val="079ED9"/>
            <w:sz w:val="28"/>
            <w:szCs w:val="28"/>
            <w:u w:val="single"/>
            <w:lang w:eastAsia="uk-UA"/>
          </w:rPr>
          <w:t>https://bit.ly/3qssgfD</w:t>
        </w:r>
      </w:hyperlink>
      <w:r w:rsidRPr="006C2B9F">
        <w:rPr>
          <w:rFonts w:ascii="Times New Roman" w:hAnsi="Times New Roman" w:cs="Times New Roman"/>
          <w:sz w:val="28"/>
          <w:szCs w:val="28"/>
          <w:lang w:eastAsia="uk-UA"/>
        </w:rPr>
        <w:t>.</w:t>
      </w:r>
    </w:p>
    <w:bookmarkEnd w:id="0"/>
    <w:p w:rsidR="00937AA8" w:rsidRPr="006C2B9F" w:rsidRDefault="00937AA8" w:rsidP="006C2B9F">
      <w:pPr>
        <w:pStyle w:val="a5"/>
        <w:jc w:val="both"/>
        <w:rPr>
          <w:rFonts w:ascii="Times New Roman" w:hAnsi="Times New Roman" w:cs="Times New Roman"/>
          <w:sz w:val="28"/>
          <w:szCs w:val="28"/>
        </w:rPr>
      </w:pPr>
    </w:p>
    <w:sectPr w:rsidR="00937AA8" w:rsidRPr="006C2B9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0A11"/>
    <w:multiLevelType w:val="multilevel"/>
    <w:tmpl w:val="C416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31092"/>
    <w:multiLevelType w:val="multilevel"/>
    <w:tmpl w:val="AC88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61F73"/>
    <w:multiLevelType w:val="multilevel"/>
    <w:tmpl w:val="75C0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238F9"/>
    <w:multiLevelType w:val="multilevel"/>
    <w:tmpl w:val="BE96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73193"/>
    <w:multiLevelType w:val="multilevel"/>
    <w:tmpl w:val="1084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753B4"/>
    <w:multiLevelType w:val="multilevel"/>
    <w:tmpl w:val="B502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71B51"/>
    <w:multiLevelType w:val="multilevel"/>
    <w:tmpl w:val="6B8E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42E21"/>
    <w:multiLevelType w:val="multilevel"/>
    <w:tmpl w:val="DBB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1442F"/>
    <w:multiLevelType w:val="multilevel"/>
    <w:tmpl w:val="0C6C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00C54"/>
    <w:multiLevelType w:val="multilevel"/>
    <w:tmpl w:val="2466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94029"/>
    <w:multiLevelType w:val="multilevel"/>
    <w:tmpl w:val="6AD2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F3B76"/>
    <w:multiLevelType w:val="multilevel"/>
    <w:tmpl w:val="D70C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A578E"/>
    <w:multiLevelType w:val="multilevel"/>
    <w:tmpl w:val="5734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34DA8"/>
    <w:multiLevelType w:val="multilevel"/>
    <w:tmpl w:val="F1F6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E7E8F"/>
    <w:multiLevelType w:val="multilevel"/>
    <w:tmpl w:val="1BA0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208CE"/>
    <w:multiLevelType w:val="multilevel"/>
    <w:tmpl w:val="CBF6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D4EF4"/>
    <w:multiLevelType w:val="multilevel"/>
    <w:tmpl w:val="7508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476CF"/>
    <w:multiLevelType w:val="multilevel"/>
    <w:tmpl w:val="8D06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3"/>
  </w:num>
  <w:num w:numId="4">
    <w:abstractNumId w:val="6"/>
  </w:num>
  <w:num w:numId="5">
    <w:abstractNumId w:val="1"/>
  </w:num>
  <w:num w:numId="6">
    <w:abstractNumId w:val="4"/>
  </w:num>
  <w:num w:numId="7">
    <w:abstractNumId w:val="2"/>
  </w:num>
  <w:num w:numId="8">
    <w:abstractNumId w:val="3"/>
  </w:num>
  <w:num w:numId="9">
    <w:abstractNumId w:val="8"/>
  </w:num>
  <w:num w:numId="10">
    <w:abstractNumId w:val="16"/>
  </w:num>
  <w:num w:numId="11">
    <w:abstractNumId w:val="7"/>
  </w:num>
  <w:num w:numId="12">
    <w:abstractNumId w:val="5"/>
  </w:num>
  <w:num w:numId="13">
    <w:abstractNumId w:val="14"/>
  </w:num>
  <w:num w:numId="14">
    <w:abstractNumId w:val="0"/>
  </w:num>
  <w:num w:numId="15">
    <w:abstractNumId w:val="12"/>
  </w:num>
  <w:num w:numId="16">
    <w:abstractNumId w:val="11"/>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9F"/>
    <w:rsid w:val="006C2B9F"/>
    <w:rsid w:val="0093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072D"/>
  <w15:chartTrackingRefBased/>
  <w15:docId w15:val="{C7842702-4E11-4402-B3C8-60AA72E5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B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C2B9F"/>
    <w:rPr>
      <w:color w:val="0000FF"/>
      <w:u w:val="single"/>
    </w:rPr>
  </w:style>
  <w:style w:type="paragraph" w:styleId="a5">
    <w:name w:val="No Spacing"/>
    <w:uiPriority w:val="1"/>
    <w:qFormat/>
    <w:rsid w:val="006C2B9F"/>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t8Bqq" TargetMode="External"/><Relationship Id="rId13" Type="http://schemas.openxmlformats.org/officeDocument/2006/relationships/hyperlink" Target="https://bit.ly/3jULw2W" TargetMode="External"/><Relationship Id="rId18" Type="http://schemas.openxmlformats.org/officeDocument/2006/relationships/hyperlink" Target="https://bit.ly/3bfm30o" TargetMode="External"/><Relationship Id="rId3" Type="http://schemas.openxmlformats.org/officeDocument/2006/relationships/settings" Target="settings.xml"/><Relationship Id="rId21" Type="http://schemas.openxmlformats.org/officeDocument/2006/relationships/hyperlink" Target="https://bit.ly/3s6o0TH" TargetMode="External"/><Relationship Id="rId7" Type="http://schemas.openxmlformats.org/officeDocument/2006/relationships/hyperlink" Target="https://bit.ly/37pbyqe" TargetMode="External"/><Relationship Id="rId12" Type="http://schemas.openxmlformats.org/officeDocument/2006/relationships/hyperlink" Target="https://bit.ly/37kxv9I" TargetMode="External"/><Relationship Id="rId17" Type="http://schemas.openxmlformats.org/officeDocument/2006/relationships/hyperlink" Target="https://bit.ly/2M3OaXS" TargetMode="External"/><Relationship Id="rId2" Type="http://schemas.openxmlformats.org/officeDocument/2006/relationships/styles" Target="styles.xml"/><Relationship Id="rId16" Type="http://schemas.openxmlformats.org/officeDocument/2006/relationships/hyperlink" Target="https://bit.ly/3dk2N4i" TargetMode="External"/><Relationship Id="rId20" Type="http://schemas.openxmlformats.org/officeDocument/2006/relationships/hyperlink" Target="https://bit.ly/3u7YhvW" TargetMode="External"/><Relationship Id="rId1" Type="http://schemas.openxmlformats.org/officeDocument/2006/relationships/numbering" Target="numbering.xml"/><Relationship Id="rId6" Type="http://schemas.openxmlformats.org/officeDocument/2006/relationships/hyperlink" Target="https://bit.ly/2Nf6FZJ" TargetMode="External"/><Relationship Id="rId11" Type="http://schemas.openxmlformats.org/officeDocument/2006/relationships/hyperlink" Target="https://bit.ly/37jZdUg" TargetMode="External"/><Relationship Id="rId24" Type="http://schemas.openxmlformats.org/officeDocument/2006/relationships/theme" Target="theme/theme1.xml"/><Relationship Id="rId5" Type="http://schemas.openxmlformats.org/officeDocument/2006/relationships/hyperlink" Target="https://bit.ly/3b8bCeR" TargetMode="External"/><Relationship Id="rId15" Type="http://schemas.openxmlformats.org/officeDocument/2006/relationships/hyperlink" Target="https://bit.ly/2ZmKymy" TargetMode="External"/><Relationship Id="rId23" Type="http://schemas.openxmlformats.org/officeDocument/2006/relationships/fontTable" Target="fontTable.xml"/><Relationship Id="rId10" Type="http://schemas.openxmlformats.org/officeDocument/2006/relationships/hyperlink" Target="https://bit.ly/2NzNCcm" TargetMode="External"/><Relationship Id="rId19" Type="http://schemas.openxmlformats.org/officeDocument/2006/relationships/hyperlink" Target="https://bit.ly/3qxR464" TargetMode="External"/><Relationship Id="rId4" Type="http://schemas.openxmlformats.org/officeDocument/2006/relationships/webSettings" Target="webSettings.xml"/><Relationship Id="rId9" Type="http://schemas.openxmlformats.org/officeDocument/2006/relationships/hyperlink" Target="https://bit.ly/3u32j8K" TargetMode="External"/><Relationship Id="rId14" Type="http://schemas.openxmlformats.org/officeDocument/2006/relationships/hyperlink" Target="https://bit.ly/3puLqjP" TargetMode="External"/><Relationship Id="rId22" Type="http://schemas.openxmlformats.org/officeDocument/2006/relationships/hyperlink" Target="https://bit.ly/3qssg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7794</Words>
  <Characters>4443</Characters>
  <Application>Microsoft Office Word</Application>
  <DocSecurity>0</DocSecurity>
  <Lines>37</Lines>
  <Paragraphs>24</Paragraphs>
  <ScaleCrop>false</ScaleCrop>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1</cp:revision>
  <dcterms:created xsi:type="dcterms:W3CDTF">2021-02-22T08:34:00Z</dcterms:created>
  <dcterms:modified xsi:type="dcterms:W3CDTF">2021-02-22T08:41:00Z</dcterms:modified>
</cp:coreProperties>
</file>