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AB5841E" w14:textId="77777777" w:rsidR="00EB31AD" w:rsidRPr="00636851" w:rsidRDefault="00EB31AD" w:rsidP="00ED5C18">
      <w:pPr>
        <w:suppressAutoHyphens/>
        <w:spacing w:after="0" w:line="240" w:lineRule="auto"/>
        <w:ind w:hanging="13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/>
          <w:sz w:val="24"/>
          <w:szCs w:val="24"/>
          <w:lang w:eastAsia="ar-SA"/>
        </w:rPr>
        <w:object w:dxaOrig="1036" w:dyaOrig="1396" w14:anchorId="4C7CD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9.2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791189900" r:id="rId7"/>
        </w:object>
      </w:r>
    </w:p>
    <w:p w14:paraId="609A46BE" w14:textId="77777777" w:rsidR="00EB31AD" w:rsidRPr="00B27A4D" w:rsidRDefault="00B27A4D" w:rsidP="00ED5C18">
      <w:pPr>
        <w:suppressAutoHyphens/>
        <w:spacing w:after="0" w:line="240" w:lineRule="auto"/>
        <w:ind w:hanging="13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</w:t>
      </w:r>
      <w:proofErr w:type="spellStart"/>
      <w:r w:rsidRPr="00B27A4D">
        <w:rPr>
          <w:rFonts w:ascii="Times New Roman" w:hAnsi="Times New Roman"/>
          <w:sz w:val="28"/>
          <w:szCs w:val="28"/>
          <w:lang w:val="uk-UA" w:eastAsia="ar-SA"/>
        </w:rPr>
        <w:t>проєкт</w:t>
      </w:r>
      <w:proofErr w:type="spellEnd"/>
    </w:p>
    <w:p w14:paraId="1998CAAE" w14:textId="77777777" w:rsidR="00EB31AD" w:rsidRPr="001B65C1" w:rsidRDefault="00EB31AD" w:rsidP="00ED5C1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ar-SA"/>
        </w:rPr>
      </w:pPr>
      <w:r w:rsidRPr="00636851">
        <w:rPr>
          <w:rFonts w:ascii="Times New Roman" w:hAnsi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14:paraId="15A43F05" w14:textId="77777777" w:rsidR="00EB31AD" w:rsidRPr="00636851" w:rsidRDefault="00EB31AD" w:rsidP="00ED5C18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val="uk-UA" w:eastAsia="ar-SA"/>
        </w:rPr>
      </w:pPr>
    </w:p>
    <w:p w14:paraId="59125312" w14:textId="77777777" w:rsidR="00EB31AD" w:rsidRPr="00636851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hAnsi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hAnsi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hAnsi="Times New Roman"/>
          <w:b/>
          <w:sz w:val="36"/>
          <w:szCs w:val="36"/>
          <w:lang w:val="uk-UA" w:eastAsia="ar-SA"/>
        </w:rPr>
        <w:t xml:space="preserve"> Я</w:t>
      </w:r>
    </w:p>
    <w:p w14:paraId="2F09B27B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________  № ________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   ___________ сесія 8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скликання</w:t>
      </w:r>
    </w:p>
    <w:p w14:paraId="2210E377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CF30A58" w14:textId="77777777" w:rsidR="00EB31AD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Про внесення змін до рішення 20 сесії 8 скликання від 24.12.2021 р.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14:paraId="12E0C211" w14:textId="77777777" w:rsidR="00EB31AD" w:rsidRPr="005018FA" w:rsidRDefault="00EB31AD" w:rsidP="001D607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 № 710-VIII ( зі змінами від 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18.</w:t>
      </w:r>
      <w:r w:rsidR="00D96514">
        <w:rPr>
          <w:rFonts w:ascii="Times New Roman" w:hAnsi="Times New Roman"/>
          <w:b/>
          <w:sz w:val="28"/>
          <w:szCs w:val="28"/>
          <w:lang w:val="uk-UA" w:eastAsia="ar-SA"/>
        </w:rPr>
        <w:t>0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D96514">
        <w:rPr>
          <w:rFonts w:ascii="Times New Roman" w:hAnsi="Times New Roman"/>
          <w:b/>
          <w:sz w:val="28"/>
          <w:szCs w:val="28"/>
          <w:lang w:val="uk-UA" w:eastAsia="ar-SA"/>
        </w:rPr>
        <w:t>.202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4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р. № </w:t>
      </w:r>
      <w:r w:rsidR="00D96514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82345D">
        <w:rPr>
          <w:rFonts w:ascii="Times New Roman" w:hAnsi="Times New Roman"/>
          <w:b/>
          <w:sz w:val="28"/>
          <w:szCs w:val="28"/>
          <w:lang w:val="uk-UA" w:eastAsia="ar-SA"/>
        </w:rPr>
        <w:t>224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-</w:t>
      </w:r>
      <w:r w:rsidRPr="005018FA">
        <w:rPr>
          <w:rFonts w:ascii="Times New Roman" w:hAnsi="Times New Roman"/>
          <w:b/>
          <w:sz w:val="28"/>
          <w:szCs w:val="28"/>
          <w:lang w:val="en-US" w:eastAsia="ar-SA"/>
        </w:rPr>
        <w:t>VIII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) «Про затвердження  програми «Здоров'я жителів Козятинської міської територіальної громади на 2022 - 2024 роки».</w:t>
      </w:r>
    </w:p>
    <w:p w14:paraId="5381AF76" w14:textId="77777777" w:rsidR="00EB31AD" w:rsidRPr="00636851" w:rsidRDefault="00EB31AD" w:rsidP="00ED5C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31351EEE" w14:textId="77777777" w:rsidR="00EB31AD" w:rsidRPr="004A0004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Керуючись 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ст. 89</w:t>
      </w:r>
      <w:r>
        <w:rPr>
          <w:rFonts w:ascii="Times New Roman" w:hAnsi="Times New Roman"/>
          <w:sz w:val="28"/>
          <w:szCs w:val="28"/>
          <w:lang w:val="uk-UA" w:eastAsia="ar-SA"/>
        </w:rPr>
        <w:t>, 91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Бюджет</w:t>
      </w:r>
      <w:r>
        <w:rPr>
          <w:rFonts w:ascii="Times New Roman" w:hAnsi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 метою забезпечення виконання норм чинного законодавства, з метою забезпечення надання жителям громади повноцінної медичної допомоги . </w:t>
      </w:r>
    </w:p>
    <w:p w14:paraId="5DF05ADD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68DAB849" w14:textId="77777777" w:rsidR="00EB31AD" w:rsidRPr="00636851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636851">
        <w:rPr>
          <w:rFonts w:ascii="Times New Roman" w:hAnsi="Times New Roman"/>
          <w:sz w:val="28"/>
          <w:szCs w:val="28"/>
          <w:lang w:val="uk-UA" w:eastAsia="ar-SA"/>
        </w:rPr>
        <w:t>В И Р І Ш  И Л А:</w:t>
      </w:r>
    </w:p>
    <w:p w14:paraId="29DCA6DB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0F9ED56" w14:textId="77777777" w:rsidR="00FD17D1" w:rsidRPr="00FD17D1" w:rsidRDefault="00EB31AD" w:rsidP="00D96514">
      <w:pPr>
        <w:pStyle w:val="a3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96514">
        <w:rPr>
          <w:rFonts w:ascii="Times New Roman" w:hAnsi="Times New Roman"/>
          <w:sz w:val="28"/>
          <w:szCs w:val="28"/>
          <w:lang w:val="uk-UA" w:eastAsia="ar-SA"/>
        </w:rPr>
        <w:t>Внести зміни до рішення 20 сесії 8 скликання від 24.12.2021 р. № 710-VIII «Про затвердження  програми «Здоров'я жителів Козятинської міської територіальної громади на 2022 - 2024 роки</w:t>
      </w:r>
      <w:r w:rsidR="00D96514" w:rsidRPr="00D96514">
        <w:rPr>
          <w:rFonts w:ascii="Times New Roman" w:hAnsi="Times New Roman"/>
          <w:sz w:val="28"/>
          <w:szCs w:val="28"/>
          <w:lang w:val="uk-UA" w:eastAsia="ar-SA"/>
        </w:rPr>
        <w:t xml:space="preserve">», та викласти </w:t>
      </w:r>
      <w:r w:rsidR="00FD17D1">
        <w:rPr>
          <w:rFonts w:ascii="Times New Roman" w:hAnsi="Times New Roman"/>
          <w:sz w:val="28"/>
          <w:szCs w:val="28"/>
          <w:lang w:val="uk-UA" w:eastAsia="ar-SA"/>
        </w:rPr>
        <w:t>такій редакції:</w:t>
      </w:r>
    </w:p>
    <w:p w14:paraId="5F12C48C" w14:textId="77777777" w:rsidR="00FD17D1" w:rsidRDefault="00FD17D1" w:rsidP="00FD17D1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Розділ 1 Додатку 1 </w:t>
      </w:r>
      <w:r w:rsidRPr="00FD17D1">
        <w:rPr>
          <w:rFonts w:ascii="Times New Roman" w:hAnsi="Times New Roman"/>
          <w:sz w:val="28"/>
          <w:szCs w:val="28"/>
          <w:lang w:val="uk-UA" w:eastAsia="ar-SA"/>
        </w:rPr>
        <w:t>Програми «Здоров'я жителів Козятинської міської територіальної громади 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2022 - 2024 роки» викласти в редакції:</w:t>
      </w:r>
    </w:p>
    <w:p w14:paraId="6E0B138F" w14:textId="77777777" w:rsidR="00FD17D1" w:rsidRPr="00636851" w:rsidRDefault="00FD17D1" w:rsidP="00FD17D1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1.Паспорт</w:t>
      </w:r>
    </w:p>
    <w:p w14:paraId="39FA59F3" w14:textId="77777777" w:rsidR="00FD17D1" w:rsidRPr="00636851" w:rsidRDefault="00FD17D1" w:rsidP="00FD17D1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програми «Здоров'я жителів Козятинської міської територіальної громади» на 2022-2024 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274"/>
        <w:gridCol w:w="4408"/>
      </w:tblGrid>
      <w:tr w:rsidR="00006BC8" w:rsidRPr="00636851" w14:paraId="39D8AC5B" w14:textId="77777777" w:rsidTr="00006BC8">
        <w:tc>
          <w:tcPr>
            <w:tcW w:w="675" w:type="dxa"/>
            <w:shd w:val="clear" w:color="auto" w:fill="auto"/>
          </w:tcPr>
          <w:p w14:paraId="545982A3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08F58C5F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1" w:type="dxa"/>
            <w:shd w:val="clear" w:color="auto" w:fill="auto"/>
          </w:tcPr>
          <w:p w14:paraId="4F16D43B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636851" w14:paraId="522B59EF" w14:textId="77777777" w:rsidTr="00006BC8">
        <w:tc>
          <w:tcPr>
            <w:tcW w:w="675" w:type="dxa"/>
            <w:shd w:val="clear" w:color="auto" w:fill="auto"/>
          </w:tcPr>
          <w:p w14:paraId="4858FF7E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194E55D9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1" w:type="dxa"/>
            <w:shd w:val="clear" w:color="auto" w:fill="auto"/>
          </w:tcPr>
          <w:p w14:paraId="6D402DD6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824C0C" w14:paraId="41E65B48" w14:textId="77777777" w:rsidTr="00006BC8">
        <w:trPr>
          <w:trHeight w:val="2259"/>
        </w:trPr>
        <w:tc>
          <w:tcPr>
            <w:tcW w:w="675" w:type="dxa"/>
            <w:shd w:val="clear" w:color="auto" w:fill="auto"/>
          </w:tcPr>
          <w:p w14:paraId="642614F1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23FE49B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Отримувачі коштів за  Програмою</w:t>
            </w:r>
          </w:p>
        </w:tc>
        <w:tc>
          <w:tcPr>
            <w:tcW w:w="4501" w:type="dxa"/>
            <w:shd w:val="clear" w:color="auto" w:fill="auto"/>
          </w:tcPr>
          <w:p w14:paraId="6D5E444C" w14:textId="77777777" w:rsidR="00FD17D1" w:rsidRPr="00006BC8" w:rsidRDefault="00FD17D1" w:rsidP="00006BC8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ради»;</w:t>
            </w:r>
          </w:p>
          <w:p w14:paraId="546F0381" w14:textId="77777777" w:rsidR="00FD17D1" w:rsidRPr="00006BC8" w:rsidRDefault="00FD17D1" w:rsidP="00006BC8">
            <w:pPr>
              <w:ind w:left="74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Комунальне підприємство «Козятинська центральна районна лікарня Козятинської міської ради»</w:t>
            </w:r>
          </w:p>
        </w:tc>
      </w:tr>
      <w:tr w:rsidR="00006BC8" w:rsidRPr="00636851" w14:paraId="78D0ECEB" w14:textId="77777777" w:rsidTr="00006BC8">
        <w:tc>
          <w:tcPr>
            <w:tcW w:w="675" w:type="dxa"/>
            <w:shd w:val="clear" w:color="auto" w:fill="auto"/>
          </w:tcPr>
          <w:p w14:paraId="3D48B6D1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395" w:type="dxa"/>
            <w:shd w:val="clear" w:color="auto" w:fill="auto"/>
          </w:tcPr>
          <w:p w14:paraId="299A4BB7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1" w:type="dxa"/>
            <w:shd w:val="clear" w:color="auto" w:fill="auto"/>
          </w:tcPr>
          <w:p w14:paraId="1F57728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006BC8" w:rsidRPr="00636851" w14:paraId="774FEB2F" w14:textId="77777777" w:rsidTr="00006BC8">
        <w:tc>
          <w:tcPr>
            <w:tcW w:w="675" w:type="dxa"/>
            <w:shd w:val="clear" w:color="auto" w:fill="auto"/>
          </w:tcPr>
          <w:p w14:paraId="021DF1B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14:paraId="51CE4375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01" w:type="dxa"/>
            <w:shd w:val="clear" w:color="auto" w:fill="auto"/>
          </w:tcPr>
          <w:p w14:paraId="70FEBAC4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2022-2024 роки</w:t>
            </w:r>
          </w:p>
        </w:tc>
      </w:tr>
      <w:tr w:rsidR="00006BC8" w:rsidRPr="00636851" w14:paraId="1BD9D305" w14:textId="77777777" w:rsidTr="00006BC8">
        <w:tc>
          <w:tcPr>
            <w:tcW w:w="675" w:type="dxa"/>
            <w:shd w:val="clear" w:color="auto" w:fill="auto"/>
          </w:tcPr>
          <w:p w14:paraId="4FFE5F30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14:paraId="6C968AAD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</w:t>
            </w:r>
          </w:p>
        </w:tc>
        <w:tc>
          <w:tcPr>
            <w:tcW w:w="4501" w:type="dxa"/>
            <w:shd w:val="clear" w:color="auto" w:fill="auto"/>
          </w:tcPr>
          <w:p w14:paraId="665311AC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Бюджет Козятинської міської територіальної громади</w:t>
            </w:r>
          </w:p>
        </w:tc>
      </w:tr>
      <w:tr w:rsidR="00006BC8" w:rsidRPr="00636851" w14:paraId="12614482" w14:textId="77777777" w:rsidTr="00006BC8">
        <w:tc>
          <w:tcPr>
            <w:tcW w:w="675" w:type="dxa"/>
            <w:shd w:val="clear" w:color="auto" w:fill="auto"/>
          </w:tcPr>
          <w:p w14:paraId="0E813100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14:paraId="0D4179BC" w14:textId="77777777" w:rsidR="00FD17D1" w:rsidRPr="00006BC8" w:rsidRDefault="00FD17D1" w:rsidP="00006B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>Обсяг  фінансування</w:t>
            </w:r>
          </w:p>
        </w:tc>
        <w:tc>
          <w:tcPr>
            <w:tcW w:w="4501" w:type="dxa"/>
            <w:shd w:val="clear" w:color="auto" w:fill="auto"/>
          </w:tcPr>
          <w:p w14:paraId="23E7E5A2" w14:textId="77777777" w:rsidR="00FD17D1" w:rsidRPr="00006BC8" w:rsidRDefault="00FD17D1" w:rsidP="00AF65C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6B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006B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10376,7</w:t>
            </w:r>
            <w:r w:rsidR="00AF65CE" w:rsidRPr="00006B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006B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14:paraId="388DDBBC" w14:textId="77777777" w:rsidR="00FD17D1" w:rsidRPr="00FD17D1" w:rsidRDefault="00FD17D1" w:rsidP="00FD17D1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35339117" w14:textId="77777777" w:rsidR="00AF65CE" w:rsidRDefault="00AF65CE" w:rsidP="00AF65CE">
      <w:pPr>
        <w:numPr>
          <w:ilvl w:val="1"/>
          <w:numId w:val="7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04487">
        <w:rPr>
          <w:rFonts w:ascii="Times New Roman" w:hAnsi="Times New Roman"/>
          <w:sz w:val="28"/>
          <w:szCs w:val="28"/>
          <w:lang w:val="uk-UA" w:eastAsia="ar-SA"/>
        </w:rPr>
        <w:t>Розділ 6 Додатку 1 Програми «Здоров'я жителів Козятинської міської територіальної громади на 2022 - 2024 роки» викласти в редакції:</w:t>
      </w:r>
    </w:p>
    <w:p w14:paraId="1651F860" w14:textId="77777777" w:rsidR="00A04487" w:rsidRPr="00A04487" w:rsidRDefault="00A04487" w:rsidP="00A04487">
      <w:pPr>
        <w:suppressAutoHyphens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1B22642" w14:textId="77777777" w:rsidR="00AF65CE" w:rsidRPr="00636851" w:rsidRDefault="00AF65CE" w:rsidP="00A044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851">
        <w:rPr>
          <w:rFonts w:ascii="Times New Roman" w:hAnsi="Times New Roman"/>
          <w:b/>
          <w:sz w:val="28"/>
          <w:szCs w:val="28"/>
          <w:lang w:val="uk-UA"/>
        </w:rPr>
        <w:t>6. Джерела та обсяги фінансування Програми</w:t>
      </w:r>
    </w:p>
    <w:p w14:paraId="0A729257" w14:textId="77777777" w:rsidR="00AF65CE" w:rsidRPr="005D550E" w:rsidRDefault="00AF65CE" w:rsidP="00A04487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B2042">
        <w:rPr>
          <w:rFonts w:ascii="Times New Roman" w:hAnsi="Times New Roman"/>
          <w:sz w:val="28"/>
          <w:szCs w:val="28"/>
          <w:lang w:val="uk-UA"/>
        </w:rPr>
        <w:t>Ресурсне забезпечення комплексної про</w:t>
      </w:r>
      <w:r>
        <w:rPr>
          <w:rFonts w:ascii="Times New Roman" w:hAnsi="Times New Roman"/>
          <w:sz w:val="28"/>
          <w:szCs w:val="28"/>
          <w:lang w:val="uk-UA"/>
        </w:rPr>
        <w:t>грами «Здоров'я жителів Козятинської  міської територіальної громади</w:t>
      </w:r>
      <w:r w:rsidRPr="00AB2042">
        <w:rPr>
          <w:rFonts w:ascii="Times New Roman" w:hAnsi="Times New Roman"/>
          <w:sz w:val="28"/>
          <w:szCs w:val="28"/>
          <w:lang w:val="uk-UA"/>
        </w:rPr>
        <w:t>» на 202</w:t>
      </w:r>
      <w:r>
        <w:rPr>
          <w:rFonts w:ascii="Times New Roman" w:hAnsi="Times New Roman"/>
          <w:sz w:val="28"/>
          <w:szCs w:val="28"/>
          <w:lang w:val="uk-UA"/>
        </w:rPr>
        <w:t>2-2024 ро</w:t>
      </w:r>
      <w:r w:rsidRPr="00AB2042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B2042">
        <w:rPr>
          <w:rFonts w:ascii="Times New Roman" w:hAnsi="Times New Roman"/>
          <w:sz w:val="28"/>
          <w:szCs w:val="28"/>
          <w:lang w:val="uk-UA"/>
        </w:rPr>
        <w:t xml:space="preserve"> передбачено в обсязі  </w:t>
      </w:r>
      <w:r w:rsidRPr="00AD031F">
        <w:rPr>
          <w:rFonts w:ascii="Times New Roman" w:hAnsi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/>
          <w:b/>
          <w:sz w:val="28"/>
          <w:szCs w:val="28"/>
          <w:lang w:val="uk-UA"/>
        </w:rPr>
        <w:t>376,76</w:t>
      </w:r>
      <w:r w:rsidRPr="00AB2042">
        <w:rPr>
          <w:rFonts w:ascii="Times New Roman" w:hAnsi="Times New Roman"/>
          <w:b/>
          <w:sz w:val="28"/>
          <w:szCs w:val="28"/>
          <w:lang w:val="uk-UA"/>
        </w:rPr>
        <w:t xml:space="preserve"> тис. грн.</w:t>
      </w:r>
      <w:r w:rsidRPr="00AB2042">
        <w:rPr>
          <w:rFonts w:ascii="Times New Roman" w:hAnsi="Times New Roman"/>
          <w:sz w:val="28"/>
          <w:szCs w:val="28"/>
          <w:lang w:val="uk-UA"/>
        </w:rPr>
        <w:t xml:space="preserve"> за кошти  бюджету громади. В тому числі на:</w:t>
      </w:r>
    </w:p>
    <w:tbl>
      <w:tblPr>
        <w:tblW w:w="102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2979"/>
        <w:gridCol w:w="1417"/>
        <w:gridCol w:w="1276"/>
        <w:gridCol w:w="1134"/>
        <w:gridCol w:w="992"/>
        <w:gridCol w:w="864"/>
        <w:gridCol w:w="11"/>
        <w:gridCol w:w="12"/>
        <w:gridCol w:w="12"/>
        <w:gridCol w:w="10"/>
        <w:gridCol w:w="850"/>
        <w:gridCol w:w="12"/>
      </w:tblGrid>
      <w:tr w:rsidR="00AF65CE" w14:paraId="5BE67E39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75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D7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805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«Козятинський міський центр первинної медико-санітарної допомоги»</w:t>
            </w: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BC8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«Козятинська ЦРЛ»</w:t>
            </w:r>
          </w:p>
        </w:tc>
      </w:tr>
      <w:tr w:rsidR="00AF65CE" w14:paraId="55B9B77D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72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F8CD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CE6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127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94DC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7ACA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5A11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3157" w14:textId="77777777" w:rsidR="00AF65CE" w:rsidRDefault="00AF65CE" w:rsidP="008B74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</w:t>
            </w:r>
          </w:p>
        </w:tc>
      </w:tr>
      <w:tr w:rsidR="00AF65CE" w14:paraId="6ED38E2B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EE" w14:textId="77777777" w:rsidR="00AF65CE" w:rsidRDefault="00AF65CE" w:rsidP="008B742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  <w:p w14:paraId="18CD221B" w14:textId="77777777" w:rsidR="00AF65CE" w:rsidRDefault="00AF65CE" w:rsidP="008B742F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30E4" w14:textId="77777777" w:rsidR="00AF65CE" w:rsidRDefault="00AF65CE" w:rsidP="008B742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паліативних хворих, а саме: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4E7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478,7 тис.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97C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1248,5тис.грн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1E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538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4D1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4107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3B4D6704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5A7" w14:textId="77777777" w:rsidR="00AF65CE" w:rsidRDefault="00AF65CE" w:rsidP="008B742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F39" w14:textId="77777777" w:rsidR="00AF65CE" w:rsidRDefault="00AF65CE" w:rsidP="008B742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97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8C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17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F57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077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73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F65CE" w14:paraId="20A35F1B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3BB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6726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Підгузники,пелюшки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222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199,3тис.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FE7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847,3тис.грн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7E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FAA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D7C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506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4090D6C0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0A3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7F0A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калоприймачі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6399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70,1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AA9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135тис.грн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92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2EA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5C5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D33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6FD1416C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CCE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145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слухові апарати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7B3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40,0тис.грн.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A0B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99,96тис.грн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FE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8BC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3B5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932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1BE89BC4" w14:textId="77777777" w:rsidTr="008B742F">
        <w:trPr>
          <w:gridAfter w:val="1"/>
          <w:wAfter w:w="12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3C9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0110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по рецептам онкохворим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6A8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169,3тис.грн.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7ADC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186,3тис.грн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1E2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2B3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0FC2922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66EC73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D39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7E1FAA8C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FDEAAB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52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22DE36F8" w14:textId="77777777" w:rsid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41EF7F0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7ED41CD3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637A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1EC8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Медикаменти та медичні засоби і матеріали  для хворих з трансплантованими органами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A1D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59,0тис.грн.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98D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C2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1CE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91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580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2B4249BF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C1B7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551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засоби, вироби медичного призначення та паливно-мастильні матеріали резерву для подолання наслідків надзвичайної ситуації (військових дій)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EB0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285,5тис.грн.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7B0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48,0тис.грн.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5A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8A89" w14:textId="77777777" w:rsidR="00AF65CE" w:rsidRPr="00AF65CE" w:rsidRDefault="00AF65CE" w:rsidP="008B742F">
            <w:pPr>
              <w:spacing w:after="0" w:line="240" w:lineRule="auto"/>
              <w:ind w:right="-31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404тис.  грн</w:t>
            </w: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77B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BDE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2A5E85BB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DD69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C162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Вироби медичного призначення для проведення діагностики цукрового та нецукрового діабету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CE4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17,5тис.грн.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49F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19,3тис.грн.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66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B97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F25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396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47AFDF26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11D5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C30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 та вироби медичного призначення для профілактики, діагностики та запобіганню розповсюдження туберкульозу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317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100,7тис.грн.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7BB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70,0тис.грн.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56F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941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6B8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393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06237337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802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5A9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за проведені цитологічні дослідження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888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96,0тис.грн.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75B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83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BED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288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DC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581B4A40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BA4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111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витрат  за пільговими рецептами по цукровому та нецукровому діабету, а саме: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A5B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253,8тис.грн.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71CC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224,6тис. 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7A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8D5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433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65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0BDF3B55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783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0365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цукровий діабет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2C7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217,8тис.грн.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4F0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85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10A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888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41F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2623BCCC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1DE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77C9" w14:textId="77777777" w:rsidR="00AF65CE" w:rsidRDefault="00AF65CE" w:rsidP="00AF65C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нецукровий діабет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455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127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12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1E2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E4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CE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0F16AB87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957B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270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по рецептам за основним та супутніми захворюваннями для хворих, що проходять терапію гемодіалізу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1BF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58,0тис.грн.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8E2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63,6тис.грн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234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C5C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E20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B04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4DCFF251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06B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4C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за рецептами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  <w:p w14:paraId="4004B75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C49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869,2тис.грн.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CD9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1256,6тис.грн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52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00E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6BA32D5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E0F3DC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9C270D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36F7E5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74F673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C38648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E6F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02232C97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A723C2E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B7B6158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7523307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77C670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545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5C04A01D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87F4D48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06C48758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C88F9AF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6DDF89AF" w14:textId="77777777" w:rsidR="00AF65CE" w:rsidRPr="00AF65CE" w:rsidRDefault="00AF65CE" w:rsidP="008B7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3B1F9FB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6E60DFAE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E8F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0A66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медичних оглядів військово-лікарською комісією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D8C0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1498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D2B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01C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1531,7тис.грн.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16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384AB38" w14:textId="77777777" w:rsidR="00AF65CE" w:rsidRPr="00AF65CE" w:rsidRDefault="00AF65CE" w:rsidP="008B742F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3B9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5D1B06B8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1AC3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6AC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Вакцина для профілактики раку шийки матки проти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папіломовірусу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45A2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115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306,2тис.грн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CD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8D1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3B77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201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F65CE" w14:paraId="610F424E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E0E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5D1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підгузниками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пелюшками, урологічними прокладками,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калоприймачами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тубіркулінодіагностики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профілактики раку шийки матки проти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папіломовірусу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79A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D0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87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2985,8 </w:t>
            </w:r>
            <w:proofErr w:type="spellStart"/>
            <w:r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311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68F6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3E4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F65CE" w14:paraId="62DF3FFC" w14:textId="77777777" w:rsidTr="008B742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82F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17D" w14:textId="77777777" w:rsid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Всього: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FE03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2 218,4тис.грн.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9E9F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3236,86тис.грн.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F20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2985,8</w:t>
            </w: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068D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F65C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1935,7 тис. грн.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3C5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2D9" w14:textId="77777777" w:rsidR="00AF65CE" w:rsidRPr="00AF65CE" w:rsidRDefault="00AF65CE" w:rsidP="008B742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29A68662" w14:textId="77777777" w:rsidR="00EB31AD" w:rsidRPr="00D96514" w:rsidRDefault="00EB31AD" w:rsidP="00AF65CE">
      <w:pPr>
        <w:pStyle w:val="a3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9651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747E1D4A" w14:textId="77777777" w:rsidR="00EB31AD" w:rsidRDefault="00EB31AD" w:rsidP="0060574A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53688DC" w14:textId="77777777" w:rsidR="00EB31AD" w:rsidRPr="0057706D" w:rsidRDefault="003E1FE6" w:rsidP="003E1FE6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2. </w:t>
      </w:r>
      <w:r w:rsidR="00EB31AD" w:rsidRPr="0057706D"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</w:t>
      </w:r>
    </w:p>
    <w:p w14:paraId="382D25D5" w14:textId="77777777" w:rsidR="00EB31AD" w:rsidRPr="001B65C1" w:rsidRDefault="00EB31AD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71121EA" w14:textId="77777777" w:rsidR="00EB31AD" w:rsidRDefault="00006BC8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Секретар ради</w:t>
      </w:r>
      <w:r w:rsidR="00EB31AD"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       </w:t>
      </w:r>
      <w:r w:rsidR="00EB31AD">
        <w:rPr>
          <w:rFonts w:ascii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 w:eastAsia="ar-SA"/>
        </w:rPr>
        <w:t>Ірина РЕПАЛО</w:t>
      </w:r>
    </w:p>
    <w:p w14:paraId="274ED711" w14:textId="77777777" w:rsidR="00450F30" w:rsidRDefault="00450F30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69D5E7A" w14:textId="77777777" w:rsidR="00EB31AD" w:rsidRPr="00450F30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50F30">
        <w:rPr>
          <w:rFonts w:ascii="Times New Roman" w:hAnsi="Times New Roman"/>
          <w:sz w:val="28"/>
          <w:szCs w:val="28"/>
          <w:lang w:val="uk-UA" w:eastAsia="ar-SA"/>
        </w:rPr>
        <w:t>О. Поліщук</w:t>
      </w:r>
    </w:p>
    <w:p w14:paraId="2E3E23BF" w14:textId="77777777" w:rsidR="00EB31AD" w:rsidRPr="00450F30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50F30">
        <w:rPr>
          <w:rFonts w:ascii="Times New Roman" w:hAnsi="Times New Roman"/>
          <w:sz w:val="28"/>
          <w:szCs w:val="28"/>
          <w:lang w:val="uk-UA" w:eastAsia="ar-SA"/>
        </w:rPr>
        <w:t>О. Шумський</w:t>
      </w:r>
    </w:p>
    <w:p w14:paraId="20EE1D6C" w14:textId="77777777" w:rsidR="00EB31AD" w:rsidRPr="00450F30" w:rsidRDefault="00EB31AD" w:rsidP="004A000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50F30">
        <w:rPr>
          <w:rFonts w:ascii="Times New Roman" w:hAnsi="Times New Roman"/>
          <w:sz w:val="28"/>
          <w:szCs w:val="28"/>
          <w:lang w:val="uk-UA" w:eastAsia="ar-SA"/>
        </w:rPr>
        <w:t>Ю. Кукуруза</w:t>
      </w:r>
    </w:p>
    <w:p w14:paraId="69EB7333" w14:textId="77777777" w:rsidR="00EB31AD" w:rsidRPr="00450F30" w:rsidRDefault="00450F30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І. Павлюк</w:t>
      </w:r>
    </w:p>
    <w:p w14:paraId="08AF69DC" w14:textId="77777777" w:rsidR="008F2216" w:rsidRDefault="008F2216" w:rsidP="006B154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</w:p>
    <w:sectPr w:rsidR="008F2216" w:rsidSect="003129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B73"/>
    <w:multiLevelType w:val="hybridMultilevel"/>
    <w:tmpl w:val="3BF6DC5E"/>
    <w:lvl w:ilvl="0" w:tplc="DE2607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B1A93"/>
    <w:multiLevelType w:val="multilevel"/>
    <w:tmpl w:val="3AD68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2" w15:restartNumberingAfterBreak="0">
    <w:nsid w:val="0B7F48C2"/>
    <w:multiLevelType w:val="multilevel"/>
    <w:tmpl w:val="EDEAE6D0"/>
    <w:lvl w:ilvl="0">
      <w:start w:val="6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3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701298"/>
    <w:multiLevelType w:val="hybridMultilevel"/>
    <w:tmpl w:val="06E2729C"/>
    <w:lvl w:ilvl="0" w:tplc="E78EC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F4FF0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6" w15:restartNumberingAfterBreak="0">
    <w:nsid w:val="745669DD"/>
    <w:multiLevelType w:val="multilevel"/>
    <w:tmpl w:val="02363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75311E66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8"/>
    <w:rsid w:val="00005EF0"/>
    <w:rsid w:val="00006BC8"/>
    <w:rsid w:val="000519A9"/>
    <w:rsid w:val="00053E15"/>
    <w:rsid w:val="000633DE"/>
    <w:rsid w:val="000666AD"/>
    <w:rsid w:val="00072A47"/>
    <w:rsid w:val="00074B54"/>
    <w:rsid w:val="000B7B05"/>
    <w:rsid w:val="000B7ED1"/>
    <w:rsid w:val="000C3160"/>
    <w:rsid w:val="000C6E01"/>
    <w:rsid w:val="000D51B0"/>
    <w:rsid w:val="000D5370"/>
    <w:rsid w:val="000F4874"/>
    <w:rsid w:val="001070B3"/>
    <w:rsid w:val="00114FF5"/>
    <w:rsid w:val="00156E32"/>
    <w:rsid w:val="00165CB9"/>
    <w:rsid w:val="00167D91"/>
    <w:rsid w:val="001838D9"/>
    <w:rsid w:val="001B65C1"/>
    <w:rsid w:val="001D607B"/>
    <w:rsid w:val="001E4BE2"/>
    <w:rsid w:val="001E59AC"/>
    <w:rsid w:val="00224579"/>
    <w:rsid w:val="00240F35"/>
    <w:rsid w:val="002511E5"/>
    <w:rsid w:val="00267E93"/>
    <w:rsid w:val="00270FDB"/>
    <w:rsid w:val="0028275F"/>
    <w:rsid w:val="002B0AFC"/>
    <w:rsid w:val="002F2893"/>
    <w:rsid w:val="002F65A7"/>
    <w:rsid w:val="003129C4"/>
    <w:rsid w:val="00317FFB"/>
    <w:rsid w:val="00327C1D"/>
    <w:rsid w:val="0035617C"/>
    <w:rsid w:val="003907EE"/>
    <w:rsid w:val="0039136B"/>
    <w:rsid w:val="003956D8"/>
    <w:rsid w:val="003B08DB"/>
    <w:rsid w:val="003C0987"/>
    <w:rsid w:val="003E1FE6"/>
    <w:rsid w:val="00424816"/>
    <w:rsid w:val="0043121A"/>
    <w:rsid w:val="00434A52"/>
    <w:rsid w:val="00450F30"/>
    <w:rsid w:val="00460BBD"/>
    <w:rsid w:val="004A0004"/>
    <w:rsid w:val="004B12C8"/>
    <w:rsid w:val="004C180F"/>
    <w:rsid w:val="004D2943"/>
    <w:rsid w:val="004E7E34"/>
    <w:rsid w:val="004F4C38"/>
    <w:rsid w:val="005018FA"/>
    <w:rsid w:val="00504B36"/>
    <w:rsid w:val="00520147"/>
    <w:rsid w:val="00531C79"/>
    <w:rsid w:val="0053604C"/>
    <w:rsid w:val="00557BE6"/>
    <w:rsid w:val="0057706D"/>
    <w:rsid w:val="00583AC9"/>
    <w:rsid w:val="00595897"/>
    <w:rsid w:val="005F6923"/>
    <w:rsid w:val="0060574A"/>
    <w:rsid w:val="006172F7"/>
    <w:rsid w:val="00636851"/>
    <w:rsid w:val="006610B2"/>
    <w:rsid w:val="00671CE3"/>
    <w:rsid w:val="0069132D"/>
    <w:rsid w:val="006B154E"/>
    <w:rsid w:val="006D711A"/>
    <w:rsid w:val="00715DB3"/>
    <w:rsid w:val="00717ACD"/>
    <w:rsid w:val="007A3269"/>
    <w:rsid w:val="007B0656"/>
    <w:rsid w:val="007C1449"/>
    <w:rsid w:val="007E766D"/>
    <w:rsid w:val="007F29BB"/>
    <w:rsid w:val="007F4499"/>
    <w:rsid w:val="008172BA"/>
    <w:rsid w:val="0082345D"/>
    <w:rsid w:val="00835269"/>
    <w:rsid w:val="00883977"/>
    <w:rsid w:val="0089024F"/>
    <w:rsid w:val="008F2216"/>
    <w:rsid w:val="0091113D"/>
    <w:rsid w:val="00916544"/>
    <w:rsid w:val="00930504"/>
    <w:rsid w:val="00944944"/>
    <w:rsid w:val="009825C8"/>
    <w:rsid w:val="009F5A5B"/>
    <w:rsid w:val="00A04487"/>
    <w:rsid w:val="00A106D3"/>
    <w:rsid w:val="00A239F8"/>
    <w:rsid w:val="00A51248"/>
    <w:rsid w:val="00A81399"/>
    <w:rsid w:val="00A85CC1"/>
    <w:rsid w:val="00AB196A"/>
    <w:rsid w:val="00AB2042"/>
    <w:rsid w:val="00AB5C5F"/>
    <w:rsid w:val="00AF65CE"/>
    <w:rsid w:val="00B118F6"/>
    <w:rsid w:val="00B27A4D"/>
    <w:rsid w:val="00B81091"/>
    <w:rsid w:val="00B82667"/>
    <w:rsid w:val="00B842AC"/>
    <w:rsid w:val="00BA28D6"/>
    <w:rsid w:val="00BA3A67"/>
    <w:rsid w:val="00BA5CC3"/>
    <w:rsid w:val="00BD26F5"/>
    <w:rsid w:val="00BE6113"/>
    <w:rsid w:val="00BF046B"/>
    <w:rsid w:val="00C06303"/>
    <w:rsid w:val="00C26D13"/>
    <w:rsid w:val="00C64523"/>
    <w:rsid w:val="00C669CD"/>
    <w:rsid w:val="00C87C54"/>
    <w:rsid w:val="00CB5B86"/>
    <w:rsid w:val="00D51CF7"/>
    <w:rsid w:val="00D81E86"/>
    <w:rsid w:val="00D96514"/>
    <w:rsid w:val="00DA7439"/>
    <w:rsid w:val="00E24AD8"/>
    <w:rsid w:val="00E339A1"/>
    <w:rsid w:val="00E509BF"/>
    <w:rsid w:val="00E71ADC"/>
    <w:rsid w:val="00E7663D"/>
    <w:rsid w:val="00E92F86"/>
    <w:rsid w:val="00EB31AD"/>
    <w:rsid w:val="00ED5C18"/>
    <w:rsid w:val="00F4264B"/>
    <w:rsid w:val="00F5263B"/>
    <w:rsid w:val="00F774A9"/>
    <w:rsid w:val="00FB6A51"/>
    <w:rsid w:val="00FC7EF8"/>
    <w:rsid w:val="00FD17D1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1992F"/>
  <w15:docId w15:val="{40EB38DD-10C3-4995-A676-22E5AE3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1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18"/>
    <w:pPr>
      <w:ind w:left="720"/>
      <w:contextualSpacing/>
    </w:pPr>
  </w:style>
  <w:style w:type="table" w:styleId="a4">
    <w:name w:val="Table Grid"/>
    <w:basedOn w:val="a1"/>
    <w:uiPriority w:val="59"/>
    <w:rsid w:val="00ED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ED5C18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5C40-9193-4DC4-9FE7-F2AE9B7C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2022-11-22T06:31:00Z</cp:lastPrinted>
  <dcterms:created xsi:type="dcterms:W3CDTF">2024-10-23T08:59:00Z</dcterms:created>
  <dcterms:modified xsi:type="dcterms:W3CDTF">2024-10-23T08:59:00Z</dcterms:modified>
</cp:coreProperties>
</file>