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85"/>
        <w:gridCol w:w="6035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Теплова енергія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ДК 021:2015: </w:t>
            </w:r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09320000-8 пара,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гаряча</w:t>
            </w:r>
            <w:proofErr w:type="spellEnd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 вода та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пов’язана</w:t>
            </w:r>
            <w:proofErr w:type="spellEnd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</w:rPr>
              <w:t>продукція</w:t>
            </w:r>
            <w:proofErr w:type="spellEnd"/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 xml:space="preserve"> (</w:t>
            </w:r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09323000-9 — </w:t>
            </w:r>
            <w:proofErr w:type="spellStart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Централізоване</w:t>
            </w:r>
            <w:proofErr w:type="spellEnd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опаленн</w:t>
            </w:r>
            <w:proofErr w:type="spellEnd"/>
            <w:r w:rsidR="00F71F47" w:rsidRPr="008C70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</w:t>
            </w:r>
            <w:r w:rsidR="00822182" w:rsidRPr="008C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EFD"/>
                <w:lang w:val="uk-UA"/>
              </w:rPr>
              <w:t>)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6C4665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 w:rsidRPr="006C466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UA-2022-11-21-008248-a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C70CF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Закону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02.06.2005 № 2633-IV, </w:t>
            </w:r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Закону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«Про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теплопостачання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№ 1959-VIII  </w:t>
            </w:r>
            <w:proofErr w:type="spellStart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="00612D7E" w:rsidRPr="008C70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21.03.2017 року</w:t>
            </w:r>
            <w:r w:rsidR="008C70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12D7E"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житлово-комунальні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24.02.2007 № 1875-IV,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</w:t>
            </w:r>
            <w:proofErr w:type="gram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</w:t>
            </w:r>
            <w:proofErr w:type="gram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21.09.2019 № 830,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установок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мереж,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палива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14.02.2005 № 630, Правил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централізованого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опалення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гарячої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води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водовідведення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Кабінету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Міні</w:t>
            </w:r>
            <w:proofErr w:type="gram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</w:t>
            </w:r>
            <w:proofErr w:type="gram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21.07.2005 № 630, та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актів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які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регламентують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порядок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надання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358FC" w:rsidRPr="006C4665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8C70CF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0358FC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 з урахуванням рішення Виконавчого комітету Козятинської міської ради від 19.09.2022р. №243 «Про приведення у відповідність до системи оподаткування тарифу на теплову енергію на період дії воєнного стану»,</w:t>
            </w:r>
            <w:r w:rsidR="000358FC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яким визначено визначення вартості закупівлі</w:t>
            </w:r>
            <w:r w:rsidR="000358FC" w:rsidRPr="008C7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="00923C7B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253 521,70</w:t>
            </w:r>
            <w:r w:rsidR="00923C7B" w:rsidRPr="00923C7B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23C7B" w:rsidRPr="00923C7B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val="uk-UA" w:eastAsia="ru-RU"/>
              </w:rPr>
              <w:t>грн</w:t>
            </w:r>
            <w:proofErr w:type="spellEnd"/>
            <w:r w:rsidR="00923C7B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 </w:t>
            </w:r>
            <w:r w:rsidR="00923C7B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uk-UA" w:eastAsia="ru-RU"/>
              </w:rPr>
              <w:t>без ПДВ.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8C70CF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253 521,70</w:t>
            </w:r>
            <w:r w:rsidR="000358FC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58FC"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(Двісті п’ятдесят три грн. п’ятсот двадцять одна грн.) без ПДВ.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методики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Мінекономіки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18.02.2020 № 275 «Про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примірної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комунальних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здійснювалося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із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застосуванням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добуток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необхідного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обсягу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(тарифу),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актом,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розраховується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такою формулою: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 = V *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де: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eastAsia="ru-RU"/>
              </w:rPr>
              <w:t>рег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щодо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проводиться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тарифів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 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обсяг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товару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закуповується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BA258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923C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  <w:lang w:eastAsia="ru-RU"/>
              </w:rPr>
              <w:t>тар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—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ціна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(тариф) за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одиницю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товару /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послуги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C70CF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затверджена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нормативно-правовим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актом.</w:t>
            </w:r>
          </w:p>
          <w:p w:rsidR="000358FC" w:rsidRPr="00BA2586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встановленим</w:t>
            </w:r>
            <w:proofErr w:type="spellEnd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тариф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 </w:t>
            </w:r>
            <w:proofErr w:type="spellStart"/>
            <w:proofErr w:type="gram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ішення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Козятинської міської ради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 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243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19.09.2022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Про приведення у відповідність до системи оподаткування тарифу на теплову енергію на період дії воєнного стану</w:t>
            </w:r>
          </w:p>
          <w:p w:rsidR="000358FC" w:rsidRPr="00923C7B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послугу</w:t>
            </w:r>
            <w:proofErr w:type="spellEnd"/>
            <w:r w:rsidR="006C4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: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3472,90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грн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  <w:proofErr w:type="spellStart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Гкал</w:t>
            </w:r>
            <w:proofErr w:type="spellEnd"/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</w:t>
            </w:r>
            <w:r w:rsidR="00BA2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ПДВ</w:t>
            </w:r>
            <w:r w:rsidRPr="00923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86C1B" w:rsidRPr="00923C7B" w:rsidRDefault="000358FC" w:rsidP="008C70CF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923C7B">
              <w:rPr>
                <w:color w:val="000000" w:themeColor="text1"/>
                <w:sz w:val="24"/>
                <w:szCs w:val="24"/>
              </w:rPr>
              <w:t>Прогнозована</w:t>
            </w:r>
            <w:proofErr w:type="spellEnd"/>
            <w:r w:rsidRPr="00923C7B">
              <w:rPr>
                <w:color w:val="000000" w:themeColor="text1"/>
                <w:sz w:val="24"/>
                <w:szCs w:val="24"/>
              </w:rPr>
              <w:t xml:space="preserve"> потреба </w:t>
            </w:r>
            <w:proofErr w:type="spellStart"/>
            <w:r w:rsidRPr="00923C7B">
              <w:rPr>
                <w:color w:val="000000" w:themeColor="text1"/>
                <w:sz w:val="24"/>
                <w:szCs w:val="24"/>
              </w:rPr>
              <w:t>послуги</w:t>
            </w:r>
            <w:proofErr w:type="spellEnd"/>
            <w:r w:rsidRPr="00923C7B">
              <w:rPr>
                <w:color w:val="000000" w:themeColor="text1"/>
                <w:sz w:val="24"/>
                <w:szCs w:val="24"/>
              </w:rPr>
              <w:t xml:space="preserve"> становить </w:t>
            </w:r>
            <w:r w:rsidR="00BA2586">
              <w:rPr>
                <w:color w:val="000000" w:themeColor="text1"/>
                <w:sz w:val="24"/>
                <w:szCs w:val="24"/>
                <w:lang w:val="uk-UA"/>
              </w:rPr>
              <w:t xml:space="preserve">73 </w:t>
            </w:r>
            <w:proofErr w:type="spellStart"/>
            <w:r w:rsidR="00BA2586">
              <w:rPr>
                <w:color w:val="000000" w:themeColor="text1"/>
                <w:sz w:val="24"/>
                <w:szCs w:val="24"/>
                <w:lang w:val="uk-UA"/>
              </w:rPr>
              <w:t>Гкал</w:t>
            </w:r>
            <w:proofErr w:type="spellEnd"/>
            <w:r w:rsidR="00BA2586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Загальна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необхідного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закупівель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обсягу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теплової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енергії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сформована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виходячи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із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їх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обсягі</w:t>
            </w:r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використання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 w:rsid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за 202</w:t>
            </w:r>
            <w:r w:rsidR="00923C7B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2</w:t>
            </w:r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р</w:t>
            </w:r>
            <w:proofErr w:type="gram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ік</w:t>
            </w:r>
            <w:proofErr w:type="spellEnd"/>
            <w:r w:rsidR="00E86C1B" w:rsidRPr="00923C7B">
              <w:rPr>
                <w:b w:val="0"/>
                <w:bCs w:val="0"/>
                <w:color w:val="000000" w:themeColor="text1"/>
                <w:sz w:val="24"/>
                <w:szCs w:val="24"/>
              </w:rPr>
              <w:t>. </w:t>
            </w:r>
          </w:p>
          <w:p w:rsidR="000358FC" w:rsidRPr="008C70CF" w:rsidRDefault="000358FC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</w:tbl>
    <w:p w:rsidR="000358FC" w:rsidRPr="00C560C2" w:rsidRDefault="0056143F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56143F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6C4665"/>
    <w:sectPr w:rsidR="00F4584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352B90"/>
    <w:rsid w:val="004A4670"/>
    <w:rsid w:val="0056143F"/>
    <w:rsid w:val="005A5AF8"/>
    <w:rsid w:val="00612D7E"/>
    <w:rsid w:val="00625219"/>
    <w:rsid w:val="006C4665"/>
    <w:rsid w:val="00822182"/>
    <w:rsid w:val="008C70CF"/>
    <w:rsid w:val="00923C7B"/>
    <w:rsid w:val="009314A8"/>
    <w:rsid w:val="00A4293E"/>
    <w:rsid w:val="00AA776E"/>
    <w:rsid w:val="00BA2586"/>
    <w:rsid w:val="00C560C2"/>
    <w:rsid w:val="00CA183A"/>
    <w:rsid w:val="00E434A0"/>
    <w:rsid w:val="00E86C1B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2022-11-16T07:57:00Z</cp:lastPrinted>
  <dcterms:created xsi:type="dcterms:W3CDTF">2022-07-25T09:06:00Z</dcterms:created>
  <dcterms:modified xsi:type="dcterms:W3CDTF">2022-11-21T12:07:00Z</dcterms:modified>
</cp:coreProperties>
</file>